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5D6" w:rsidRDefault="001435D6" w:rsidP="00F82D45">
      <w:pPr>
        <w:spacing w:after="0"/>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F82D45">
      <w:pPr>
        <w:jc w:val="center"/>
        <w:rPr>
          <w:rFonts w:ascii="Calibri" w:hAnsi="Calibri" w:cs="Calibri"/>
          <w:sz w:val="24"/>
          <w:szCs w:val="24"/>
          <w:lang w:val="es-ES"/>
        </w:rPr>
      </w:pPr>
    </w:p>
    <w:p w:rsidR="00F82D45" w:rsidRDefault="00F82D45" w:rsidP="00EF037C">
      <w:pPr>
        <w:tabs>
          <w:tab w:val="left" w:pos="8550"/>
        </w:tabs>
        <w:jc w:val="center"/>
        <w:rPr>
          <w:rFonts w:ascii="Calibri" w:hAnsi="Calibri" w:cs="Calibri"/>
          <w:b/>
          <w:sz w:val="36"/>
          <w:szCs w:val="36"/>
        </w:rPr>
      </w:pPr>
      <w:r w:rsidRPr="007C7C46">
        <w:rPr>
          <w:rFonts w:ascii="Calibri" w:hAnsi="Calibri" w:cs="Calibri"/>
          <w:b/>
          <w:noProof/>
          <w:lang w:eastAsia="es-MX"/>
        </w:rPr>
        <w:drawing>
          <wp:inline distT="0" distB="0" distL="0" distR="0" wp14:anchorId="117075C9" wp14:editId="2263506D">
            <wp:extent cx="2511554" cy="1943100"/>
            <wp:effectExtent l="0" t="0" r="3175" b="0"/>
            <wp:docPr id="2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n 1"/>
                    <pic:cNvPicPr>
                      <a:picLocks noChangeAspect="1"/>
                    </pic:cNvPicPr>
                  </pic:nvPicPr>
                  <pic:blipFill rotWithShape="1">
                    <a:blip r:embed="rId8">
                      <a:extLst>
                        <a:ext uri="{28A0092B-C50C-407E-A947-70E740481C1C}">
                          <a14:useLocalDpi xmlns:a14="http://schemas.microsoft.com/office/drawing/2010/main" val="0"/>
                        </a:ext>
                      </a:extLst>
                    </a:blip>
                    <a:srcRect b="22193"/>
                    <a:stretch/>
                  </pic:blipFill>
                  <pic:spPr bwMode="auto">
                    <a:xfrm>
                      <a:off x="0" y="0"/>
                      <a:ext cx="2549055" cy="1972113"/>
                    </a:xfrm>
                    <a:prstGeom prst="rect">
                      <a:avLst/>
                    </a:prstGeom>
                    <a:noFill/>
                    <a:ln>
                      <a:noFill/>
                    </a:ln>
                    <a:extLst>
                      <a:ext uri="{53640926-AAD7-44D8-BBD7-CCE9431645EC}">
                        <a14:shadowObscured xmlns:a14="http://schemas.microsoft.com/office/drawing/2010/main"/>
                      </a:ext>
                    </a:extLst>
                  </pic:spPr>
                </pic:pic>
              </a:graphicData>
            </a:graphic>
          </wp:inline>
        </w:drawing>
      </w:r>
    </w:p>
    <w:p w:rsidR="00F82D45" w:rsidRDefault="00F82D45" w:rsidP="00F82D45">
      <w:pPr>
        <w:tabs>
          <w:tab w:val="left" w:pos="8550"/>
        </w:tabs>
        <w:jc w:val="center"/>
        <w:rPr>
          <w:rFonts w:ascii="Calibri" w:hAnsi="Calibri" w:cs="Calibri"/>
          <w:b/>
          <w:sz w:val="36"/>
          <w:szCs w:val="36"/>
        </w:rPr>
      </w:pPr>
      <w:r w:rsidRPr="004A677B">
        <w:rPr>
          <w:rFonts w:ascii="Calibri" w:hAnsi="Calibri" w:cs="Calibri"/>
          <w:b/>
          <w:sz w:val="36"/>
          <w:szCs w:val="36"/>
        </w:rPr>
        <w:t xml:space="preserve">PROGRAMA </w:t>
      </w:r>
    </w:p>
    <w:p w:rsidR="00F82D45" w:rsidRPr="004A677B" w:rsidRDefault="00F82D45" w:rsidP="00F82D45">
      <w:pPr>
        <w:tabs>
          <w:tab w:val="left" w:pos="8550"/>
        </w:tabs>
        <w:jc w:val="center"/>
        <w:rPr>
          <w:rFonts w:ascii="Calibri" w:hAnsi="Calibri" w:cs="Calibri"/>
          <w:b/>
          <w:sz w:val="36"/>
          <w:szCs w:val="36"/>
        </w:rPr>
      </w:pPr>
      <w:r>
        <w:rPr>
          <w:rFonts w:ascii="Calibri" w:hAnsi="Calibri" w:cs="Calibri"/>
          <w:b/>
          <w:sz w:val="36"/>
          <w:szCs w:val="36"/>
        </w:rPr>
        <w:t>“</w:t>
      </w:r>
      <w:r w:rsidRPr="004A677B">
        <w:rPr>
          <w:rFonts w:ascii="Calibri" w:hAnsi="Calibri" w:cs="Calibri"/>
          <w:b/>
          <w:sz w:val="36"/>
          <w:szCs w:val="36"/>
        </w:rPr>
        <w:t>PERSPECTIVA DE GÉNERO EN LA ESCUELA</w:t>
      </w:r>
      <w:r>
        <w:rPr>
          <w:rFonts w:ascii="Calibri" w:hAnsi="Calibri" w:cs="Calibri"/>
          <w:b/>
          <w:sz w:val="36"/>
          <w:szCs w:val="36"/>
        </w:rPr>
        <w:t>”</w:t>
      </w:r>
    </w:p>
    <w:p w:rsidR="00F82D45" w:rsidRDefault="00F82D45" w:rsidP="00F82D45">
      <w:pPr>
        <w:jc w:val="center"/>
        <w:rPr>
          <w:rFonts w:ascii="Calibri" w:hAnsi="Calibri" w:cs="Calibri"/>
          <w:sz w:val="24"/>
          <w:szCs w:val="24"/>
          <w:lang w:val="es-ES"/>
        </w:rPr>
      </w:pPr>
    </w:p>
    <w:p w:rsidR="00F82D45" w:rsidRDefault="00F82D45" w:rsidP="00F82D45">
      <w:pPr>
        <w:tabs>
          <w:tab w:val="center" w:pos="4844"/>
        </w:tabs>
        <w:rPr>
          <w:rFonts w:ascii="Calibri" w:hAnsi="Calibri" w:cs="Calibri"/>
          <w:sz w:val="24"/>
          <w:szCs w:val="24"/>
          <w:lang w:val="es-ES"/>
        </w:rPr>
      </w:pPr>
    </w:p>
    <w:p w:rsidR="00F82D45" w:rsidRPr="00F82D45" w:rsidRDefault="00F82D45" w:rsidP="00F82D45">
      <w:pPr>
        <w:tabs>
          <w:tab w:val="center" w:pos="4844"/>
        </w:tabs>
        <w:rPr>
          <w:rFonts w:ascii="Calibri" w:hAnsi="Calibri" w:cs="Calibri"/>
          <w:sz w:val="24"/>
          <w:szCs w:val="24"/>
          <w:lang w:val="es-ES"/>
        </w:rPr>
        <w:sectPr w:rsidR="00F82D45" w:rsidRPr="00F82D45" w:rsidSect="00F82D45">
          <w:headerReference w:type="default" r:id="rId9"/>
          <w:footerReference w:type="default" r:id="rId10"/>
          <w:pgSz w:w="12240" w:h="15840" w:code="1"/>
          <w:pgMar w:top="1134" w:right="1418" w:bottom="1134" w:left="1134" w:header="709" w:footer="709" w:gutter="0"/>
          <w:cols w:space="708"/>
          <w:docGrid w:linePitch="360"/>
        </w:sectPr>
      </w:pPr>
    </w:p>
    <w:p w:rsidR="0011338D" w:rsidRDefault="0011338D" w:rsidP="00F82D45">
      <w:pPr>
        <w:tabs>
          <w:tab w:val="left" w:pos="8550"/>
        </w:tabs>
        <w:rPr>
          <w:rFonts w:ascii="Calibri" w:hAnsi="Calibri" w:cs="Calibri"/>
          <w:b/>
        </w:rPr>
      </w:pPr>
    </w:p>
    <w:p w:rsidR="0011338D" w:rsidRPr="00862936" w:rsidRDefault="0011338D" w:rsidP="00862936">
      <w:pPr>
        <w:tabs>
          <w:tab w:val="left" w:pos="8550"/>
        </w:tabs>
        <w:jc w:val="center"/>
        <w:rPr>
          <w:rFonts w:ascii="Calibri" w:hAnsi="Calibri" w:cs="Calibri"/>
          <w:b/>
        </w:rPr>
      </w:pPr>
      <w:r w:rsidRPr="001C6ECE">
        <w:rPr>
          <w:rFonts w:ascii="Calibri" w:hAnsi="Calibri" w:cs="Calibri"/>
          <w:b/>
        </w:rPr>
        <w:t xml:space="preserve">PROGRAMA PERSPECTIVA DE GÉNERO EN LA ESCUELA </w:t>
      </w:r>
    </w:p>
    <w:p w:rsidR="00862936" w:rsidRDefault="00F82D45" w:rsidP="00F82D45">
      <w:pPr>
        <w:tabs>
          <w:tab w:val="left" w:pos="8550"/>
        </w:tabs>
        <w:jc w:val="both"/>
        <w:rPr>
          <w:rFonts w:ascii="Calibri" w:hAnsi="Calibri" w:cs="Calibri"/>
        </w:rPr>
      </w:pPr>
      <w:r w:rsidRPr="00F82D45">
        <w:rPr>
          <w:rFonts w:ascii="Calibri" w:hAnsi="Calibri" w:cs="Calibri"/>
        </w:rPr>
        <w:t xml:space="preserve">La Secretaría de Educación Pública del Estado de Hidalgo a través de la Dirección de la Unidad Institucional para la igualdad entre Mujeres y Hombres </w:t>
      </w:r>
      <w:r>
        <w:rPr>
          <w:rFonts w:ascii="Calibri" w:hAnsi="Calibri" w:cs="Calibri"/>
        </w:rPr>
        <w:t>desarrolla</w:t>
      </w:r>
      <w:r w:rsidRPr="00F82D45">
        <w:rPr>
          <w:rFonts w:ascii="Calibri" w:hAnsi="Calibri" w:cs="Calibri"/>
        </w:rPr>
        <w:t xml:space="preserve"> el </w:t>
      </w:r>
      <w:r w:rsidRPr="00CE1AC1">
        <w:rPr>
          <w:rFonts w:ascii="Calibri" w:hAnsi="Calibri" w:cs="Calibri"/>
          <w:b/>
          <w:bCs/>
        </w:rPr>
        <w:t>Programa Perspectiva de Género en la Escuela</w:t>
      </w:r>
      <w:r w:rsidRPr="00F82D45">
        <w:rPr>
          <w:rFonts w:ascii="Calibri" w:hAnsi="Calibri" w:cs="Calibri"/>
        </w:rPr>
        <w:t xml:space="preserve">, como una herramienta conceptual y metodológica para la </w:t>
      </w:r>
      <w:r w:rsidR="00CE1AC1">
        <w:rPr>
          <w:rFonts w:ascii="Calibri" w:hAnsi="Calibri" w:cs="Calibri"/>
        </w:rPr>
        <w:t>i</w:t>
      </w:r>
      <w:r w:rsidRPr="00F82D45">
        <w:rPr>
          <w:rFonts w:ascii="Calibri" w:hAnsi="Calibri" w:cs="Calibri"/>
        </w:rPr>
        <w:t xml:space="preserve">ncorporación de la </w:t>
      </w:r>
      <w:r w:rsidR="00CE1AC1">
        <w:rPr>
          <w:rFonts w:ascii="Calibri" w:hAnsi="Calibri" w:cs="Calibri"/>
        </w:rPr>
        <w:t>P</w:t>
      </w:r>
      <w:r w:rsidRPr="00F82D45">
        <w:rPr>
          <w:rFonts w:ascii="Calibri" w:hAnsi="Calibri" w:cs="Calibri"/>
        </w:rPr>
        <w:t xml:space="preserve">erspectiva de </w:t>
      </w:r>
      <w:r w:rsidR="00CE1AC1">
        <w:rPr>
          <w:rFonts w:ascii="Calibri" w:hAnsi="Calibri" w:cs="Calibri"/>
        </w:rPr>
        <w:t>G</w:t>
      </w:r>
      <w:r w:rsidRPr="00F82D45">
        <w:rPr>
          <w:rFonts w:ascii="Calibri" w:hAnsi="Calibri" w:cs="Calibri"/>
        </w:rPr>
        <w:t>énero en el Sistema Educativo,</w:t>
      </w:r>
      <w:r w:rsidR="00CE1AC1">
        <w:rPr>
          <w:rFonts w:ascii="Calibri" w:hAnsi="Calibri" w:cs="Calibri"/>
        </w:rPr>
        <w:t xml:space="preserve"> así como </w:t>
      </w:r>
      <w:r w:rsidRPr="00F82D45">
        <w:rPr>
          <w:rFonts w:ascii="Calibri" w:hAnsi="Calibri" w:cs="Calibri"/>
        </w:rPr>
        <w:t>para avanzar en los objetivos planteados en el Programa Transversal de Perspectiva de Género 2017</w:t>
      </w:r>
      <w:r w:rsidR="00CE1AC1">
        <w:rPr>
          <w:rFonts w:ascii="Calibri" w:hAnsi="Calibri" w:cs="Calibri"/>
        </w:rPr>
        <w:t xml:space="preserve">- </w:t>
      </w:r>
      <w:r w:rsidRPr="00F82D45">
        <w:rPr>
          <w:rFonts w:ascii="Calibri" w:hAnsi="Calibri" w:cs="Calibri"/>
        </w:rPr>
        <w:t>2022 del Gobierno del Estado de Hidalgo</w:t>
      </w:r>
      <w:r w:rsidR="00CE1AC1">
        <w:rPr>
          <w:rFonts w:ascii="Calibri" w:hAnsi="Calibri" w:cs="Calibri"/>
        </w:rPr>
        <w:t xml:space="preserve"> y </w:t>
      </w:r>
      <w:r w:rsidRPr="00F82D45">
        <w:rPr>
          <w:rFonts w:ascii="Calibri" w:hAnsi="Calibri" w:cs="Calibri"/>
        </w:rPr>
        <w:t xml:space="preserve">el Programa Sectorial de Educación 2017 – 2022, en materia de igualdad de género, </w:t>
      </w:r>
      <w:r w:rsidR="00862936">
        <w:rPr>
          <w:rFonts w:ascii="Calibri" w:hAnsi="Calibri" w:cs="Calibri"/>
        </w:rPr>
        <w:t>los cuales fueron</w:t>
      </w:r>
      <w:r w:rsidRPr="00F82D45">
        <w:rPr>
          <w:rFonts w:ascii="Calibri" w:hAnsi="Calibri" w:cs="Calibri"/>
        </w:rPr>
        <w:t xml:space="preserve"> elaborados como respuesta a la necesidad de contribuir en la erradicación de todas las formas de violencia, discriminación, desigualdad o maltrato que aún se presentan en las escuelas de la entidad y que transgreden los Derechos Humanos.</w:t>
      </w:r>
      <w:r>
        <w:rPr>
          <w:rFonts w:ascii="Calibri" w:hAnsi="Calibri" w:cs="Calibri"/>
        </w:rPr>
        <w:t xml:space="preserve"> </w:t>
      </w:r>
    </w:p>
    <w:p w:rsidR="0011338D" w:rsidRPr="0011338D" w:rsidRDefault="0011338D" w:rsidP="00F82D45">
      <w:pPr>
        <w:tabs>
          <w:tab w:val="left" w:pos="8550"/>
        </w:tabs>
        <w:jc w:val="both"/>
        <w:rPr>
          <w:rFonts w:ascii="Calibri" w:hAnsi="Calibri" w:cs="Calibri"/>
        </w:rPr>
      </w:pPr>
      <w:r w:rsidRPr="0011338D">
        <w:rPr>
          <w:rFonts w:ascii="Calibri" w:hAnsi="Calibri" w:cs="Calibri"/>
        </w:rPr>
        <w:t xml:space="preserve">Hoy en día en nuestra sociedad aún persisten estereotipos y roles tradicionales de género que colocan a las mujeres y niñas en una posición de desventaja con respecto a los hombres, además de una serie de factores que vulneran su condición social, tales como el origen étnico o nacional, sexo, edad, discapacidad, condición social o económica, condiciones de salud, embarazo, lengua, religión, opiniones, preferencias sexuales, estado familiar o cualquier otra que acentúan la situación de desventaja en que viven las mujeres, principalmente las indígenas y rurales de nuestro estado, población que merece una atención especial, ya que ha sido objeto de una discriminación múltiple que impacta en su desarrollo económico y social.  </w:t>
      </w:r>
    </w:p>
    <w:p w:rsidR="0011338D" w:rsidRDefault="0011338D" w:rsidP="0011338D">
      <w:pPr>
        <w:tabs>
          <w:tab w:val="left" w:pos="8550"/>
        </w:tabs>
        <w:jc w:val="both"/>
        <w:rPr>
          <w:rFonts w:ascii="Calibri" w:hAnsi="Calibri" w:cs="Calibri"/>
        </w:rPr>
      </w:pPr>
      <w:r w:rsidRPr="0011338D">
        <w:rPr>
          <w:rFonts w:ascii="Calibri" w:hAnsi="Calibri" w:cs="Calibri"/>
        </w:rPr>
        <w:t xml:space="preserve">Es de destacar el papel del Estado como impulsor de políticas públicas con perspectiva de género, fundamentadas en los instrumentos internacionales, nacionales y estatales en el marco de los derechos humanos de las mujeres para su acceso a una vida libre de violencia, y la igualdad sustantiva entre mujeres y hombres. De este modo el Gobierno del Estado reitera su compromiso en la construcción de una democracia basada en los principios de justicia e igualdad social consolidando el proceso de transversalización de la perspectiva de género en la administración pública estatal y municipal. </w:t>
      </w:r>
    </w:p>
    <w:p w:rsidR="0011338D" w:rsidRPr="001C6ECE" w:rsidRDefault="0011338D" w:rsidP="0011338D">
      <w:pPr>
        <w:jc w:val="both"/>
        <w:rPr>
          <w:rFonts w:ascii="Calibri" w:hAnsi="Calibri" w:cs="Calibri"/>
        </w:rPr>
      </w:pPr>
      <w:r w:rsidRPr="001C6ECE">
        <w:rPr>
          <w:rFonts w:ascii="Calibri" w:hAnsi="Calibri" w:cs="Calibri"/>
        </w:rPr>
        <w:t xml:space="preserve">La escuela es uno de los principales agentes de socialización de género, por ello se debe trabajar por una educación proactiva a la igualdad, lo cual requiere que el profesorado reconozca los mecanismos por los que se reproducen las desigualdades y que asuma la necesidad de incluir la </w:t>
      </w:r>
      <w:r>
        <w:rPr>
          <w:rFonts w:ascii="Calibri" w:hAnsi="Calibri" w:cs="Calibri"/>
        </w:rPr>
        <w:t>perspectiva de género en</w:t>
      </w:r>
      <w:r w:rsidRPr="001C6ECE">
        <w:rPr>
          <w:rFonts w:ascii="Calibri" w:hAnsi="Calibri" w:cs="Calibri"/>
        </w:rPr>
        <w:t xml:space="preserve"> su actividad docente. </w:t>
      </w:r>
    </w:p>
    <w:p w:rsidR="00862936" w:rsidRDefault="0011338D" w:rsidP="0011338D">
      <w:pPr>
        <w:jc w:val="both"/>
        <w:rPr>
          <w:rFonts w:ascii="Calibri" w:hAnsi="Calibri" w:cs="Calibri"/>
        </w:rPr>
      </w:pPr>
      <w:r w:rsidRPr="001C6ECE">
        <w:rPr>
          <w:rFonts w:ascii="Calibri" w:hAnsi="Calibri" w:cs="Calibri"/>
        </w:rPr>
        <w:t xml:space="preserve">Incluir la perspectiva de género, significa reconocer en principio las diferentes esferas en las cuales se expresan las desigualdades, y a partir de ahí generar acciones específicas para cada dimensión: en el aula, en los contenidos y programas educativos, en la institución, en el trato con </w:t>
      </w:r>
      <w:r w:rsidR="00862936">
        <w:rPr>
          <w:rFonts w:ascii="Calibri" w:hAnsi="Calibri" w:cs="Calibri"/>
        </w:rPr>
        <w:t xml:space="preserve">las y </w:t>
      </w:r>
      <w:r w:rsidRPr="001C6ECE">
        <w:rPr>
          <w:rFonts w:ascii="Calibri" w:hAnsi="Calibri" w:cs="Calibri"/>
        </w:rPr>
        <w:t xml:space="preserve">los </w:t>
      </w:r>
      <w:r w:rsidR="00862936" w:rsidRPr="001C6ECE">
        <w:rPr>
          <w:rFonts w:ascii="Calibri" w:hAnsi="Calibri" w:cs="Calibri"/>
        </w:rPr>
        <w:t>estudiantes,</w:t>
      </w:r>
      <w:r w:rsidR="00862936">
        <w:rPr>
          <w:rFonts w:ascii="Calibri" w:hAnsi="Calibri" w:cs="Calibri"/>
        </w:rPr>
        <w:t xml:space="preserve"> así como</w:t>
      </w:r>
      <w:r w:rsidRPr="001C6ECE">
        <w:rPr>
          <w:rFonts w:ascii="Calibri" w:hAnsi="Calibri" w:cs="Calibri"/>
        </w:rPr>
        <w:t xml:space="preserve"> en las relaciones entre </w:t>
      </w:r>
      <w:r w:rsidR="00862936">
        <w:rPr>
          <w:rFonts w:ascii="Calibri" w:hAnsi="Calibri" w:cs="Calibri"/>
        </w:rPr>
        <w:t>las y los integrantes de la comunidad escolar.</w:t>
      </w:r>
    </w:p>
    <w:p w:rsidR="0011338D" w:rsidRPr="001C6ECE" w:rsidRDefault="0011338D" w:rsidP="0011338D">
      <w:pPr>
        <w:jc w:val="both"/>
        <w:rPr>
          <w:rFonts w:ascii="Calibri" w:hAnsi="Calibri" w:cs="Calibri"/>
        </w:rPr>
      </w:pPr>
      <w:r w:rsidRPr="001C6ECE">
        <w:rPr>
          <w:rFonts w:ascii="Calibri" w:hAnsi="Calibri" w:cs="Calibri"/>
        </w:rPr>
        <w:t xml:space="preserve"> </w:t>
      </w:r>
    </w:p>
    <w:p w:rsidR="00862936" w:rsidRDefault="00862936" w:rsidP="0011338D">
      <w:pPr>
        <w:shd w:val="clear" w:color="auto" w:fill="FFFFFF"/>
        <w:spacing w:before="100" w:beforeAutospacing="1" w:after="100" w:afterAutospacing="1"/>
        <w:jc w:val="both"/>
        <w:rPr>
          <w:rFonts w:ascii="Calibri" w:eastAsia="Times New Roman" w:hAnsi="Calibri" w:cs="Calibri"/>
          <w:b/>
          <w:bCs/>
          <w:lang w:eastAsia="es-MX"/>
        </w:rPr>
      </w:pPr>
    </w:p>
    <w:p w:rsidR="00B8034E" w:rsidRDefault="00B8034E" w:rsidP="00862936">
      <w:pPr>
        <w:tabs>
          <w:tab w:val="left" w:pos="8550"/>
        </w:tabs>
        <w:jc w:val="center"/>
        <w:rPr>
          <w:rFonts w:ascii="Calibri" w:hAnsi="Calibri" w:cs="Calibri"/>
          <w:b/>
        </w:rPr>
      </w:pPr>
    </w:p>
    <w:p w:rsidR="00862936" w:rsidRPr="00862936" w:rsidRDefault="00862936" w:rsidP="00862936">
      <w:pPr>
        <w:tabs>
          <w:tab w:val="left" w:pos="8550"/>
        </w:tabs>
        <w:jc w:val="center"/>
        <w:rPr>
          <w:rFonts w:ascii="Calibri" w:hAnsi="Calibri" w:cs="Calibri"/>
          <w:b/>
        </w:rPr>
      </w:pPr>
      <w:r w:rsidRPr="001C6ECE">
        <w:rPr>
          <w:rFonts w:ascii="Calibri" w:hAnsi="Calibri" w:cs="Calibri"/>
          <w:b/>
        </w:rPr>
        <w:t xml:space="preserve">PROGRAMA PERSPECTIVA DE GÉNERO EN LA ESCUELA </w:t>
      </w:r>
    </w:p>
    <w:p w:rsidR="0011338D" w:rsidRDefault="0011338D" w:rsidP="0011338D">
      <w:pPr>
        <w:shd w:val="clear" w:color="auto" w:fill="FFFFFF"/>
        <w:spacing w:before="100" w:beforeAutospacing="1" w:after="100" w:afterAutospacing="1"/>
        <w:jc w:val="both"/>
        <w:rPr>
          <w:rFonts w:ascii="Calibri" w:eastAsia="Times New Roman" w:hAnsi="Calibri" w:cs="Calibri"/>
          <w:b/>
          <w:bCs/>
          <w:lang w:eastAsia="es-MX"/>
        </w:rPr>
      </w:pPr>
      <w:r w:rsidRPr="001C6ECE">
        <w:rPr>
          <w:rFonts w:ascii="Calibri" w:eastAsia="Times New Roman" w:hAnsi="Calibri" w:cs="Calibri"/>
          <w:b/>
          <w:bCs/>
          <w:lang w:eastAsia="es-MX"/>
        </w:rPr>
        <w:t>Objetivo general:</w:t>
      </w:r>
    </w:p>
    <w:p w:rsidR="00F82D45" w:rsidRDefault="00F82D45" w:rsidP="0011338D">
      <w:pPr>
        <w:shd w:val="clear" w:color="auto" w:fill="FFFFFF"/>
        <w:spacing w:before="100" w:beforeAutospacing="1" w:after="100" w:afterAutospacing="1"/>
        <w:jc w:val="both"/>
        <w:rPr>
          <w:rFonts w:ascii="Calibri" w:hAnsi="Calibri" w:cs="Calibri"/>
          <w:sz w:val="24"/>
          <w:szCs w:val="24"/>
        </w:rPr>
      </w:pPr>
      <w:r w:rsidRPr="00F82D45">
        <w:rPr>
          <w:rFonts w:ascii="Calibri" w:hAnsi="Calibri" w:cs="Calibri"/>
          <w:sz w:val="24"/>
          <w:szCs w:val="24"/>
        </w:rPr>
        <w:t>Garantizar el derecho de todas las niñas y mujeres a recibir servicios educativos con perspectiva de género en el estado de Hidalgo.</w:t>
      </w:r>
    </w:p>
    <w:p w:rsidR="00F82D45" w:rsidRPr="0011338D" w:rsidRDefault="00F82D45" w:rsidP="00F82D45">
      <w:pPr>
        <w:shd w:val="clear" w:color="auto" w:fill="FFFFFF"/>
        <w:spacing w:before="100" w:beforeAutospacing="1" w:after="100" w:afterAutospacing="1"/>
        <w:jc w:val="both"/>
        <w:rPr>
          <w:rFonts w:ascii="Calibri" w:eastAsia="Times New Roman" w:hAnsi="Calibri" w:cs="Calibri"/>
          <w:b/>
          <w:bCs/>
          <w:color w:val="000000" w:themeColor="text1"/>
          <w:lang w:eastAsia="es-MX"/>
        </w:rPr>
      </w:pPr>
      <w:r w:rsidRPr="0011338D">
        <w:rPr>
          <w:rFonts w:ascii="Calibri" w:eastAsia="Times New Roman" w:hAnsi="Calibri" w:cs="Calibri"/>
          <w:b/>
          <w:bCs/>
          <w:color w:val="000000" w:themeColor="text1"/>
          <w:lang w:eastAsia="es-MX"/>
        </w:rPr>
        <w:t>Objetivos específicos:</w:t>
      </w:r>
    </w:p>
    <w:p w:rsidR="00F82D45" w:rsidRPr="0011338D" w:rsidRDefault="00F82D45" w:rsidP="00F82D45">
      <w:pPr>
        <w:shd w:val="clear" w:color="auto" w:fill="FFFFFF"/>
        <w:spacing w:before="100" w:beforeAutospacing="1" w:after="100" w:afterAutospacing="1"/>
        <w:jc w:val="both"/>
        <w:rPr>
          <w:rFonts w:ascii="Calibri" w:eastAsia="Times New Roman" w:hAnsi="Calibri" w:cs="Calibri"/>
          <w:lang w:eastAsia="es-MX"/>
        </w:rPr>
      </w:pPr>
      <w:r w:rsidRPr="0011338D">
        <w:rPr>
          <w:rFonts w:ascii="Calibri" w:eastAsia="Times New Roman" w:hAnsi="Calibri" w:cs="Calibri"/>
          <w:color w:val="000000" w:themeColor="text1"/>
          <w:lang w:eastAsia="es-MX"/>
        </w:rPr>
        <w:t xml:space="preserve">1. </w:t>
      </w:r>
      <w:r w:rsidR="00862936">
        <w:rPr>
          <w:rFonts w:ascii="Calibri" w:eastAsia="Times New Roman" w:hAnsi="Calibri" w:cs="Calibri"/>
          <w:lang w:eastAsia="es-MX"/>
        </w:rPr>
        <w:t>D</w:t>
      </w:r>
      <w:r w:rsidRPr="0011338D">
        <w:rPr>
          <w:rFonts w:ascii="Calibri" w:eastAsia="Times New Roman" w:hAnsi="Calibri" w:cs="Calibri"/>
          <w:lang w:eastAsia="es-MX"/>
        </w:rPr>
        <w:t>isminuir las brechas de desigualdad entre hombres y mujeres.</w:t>
      </w:r>
    </w:p>
    <w:p w:rsidR="00F82D45" w:rsidRPr="0011338D" w:rsidRDefault="00F82D45" w:rsidP="00F82D45">
      <w:pPr>
        <w:shd w:val="clear" w:color="auto" w:fill="FFFFFF"/>
        <w:spacing w:before="100" w:beforeAutospacing="1" w:after="100" w:afterAutospacing="1"/>
        <w:jc w:val="both"/>
        <w:rPr>
          <w:rFonts w:ascii="Calibri" w:eastAsia="Times New Roman" w:hAnsi="Calibri" w:cs="Calibri"/>
          <w:lang w:eastAsia="es-MX"/>
        </w:rPr>
      </w:pPr>
      <w:r w:rsidRPr="0011338D">
        <w:rPr>
          <w:rFonts w:ascii="Calibri" w:eastAsia="Times New Roman" w:hAnsi="Calibri" w:cs="Calibri"/>
          <w:lang w:eastAsia="es-MX"/>
        </w:rPr>
        <w:t xml:space="preserve">2. </w:t>
      </w:r>
      <w:r w:rsidRPr="0011338D">
        <w:rPr>
          <w:rFonts w:ascii="Calibri" w:hAnsi="Calibri" w:cs="Calibri"/>
        </w:rPr>
        <w:t>Implementar una educación libre de estereotipos, roles y actitudes sexistas, donde se promueva el ejercicio y goce de una igualdad sustantiva que permita a niñas, niños, adolescentes y jóvenes el desarrollo integral.</w:t>
      </w:r>
    </w:p>
    <w:p w:rsidR="00862936" w:rsidRDefault="00F82D45" w:rsidP="00F82D45">
      <w:pPr>
        <w:shd w:val="clear" w:color="auto" w:fill="FFFFFF"/>
        <w:spacing w:before="100" w:beforeAutospacing="1" w:after="100" w:afterAutospacing="1"/>
        <w:jc w:val="both"/>
        <w:rPr>
          <w:rFonts w:ascii="Calibri" w:eastAsia="Times New Roman" w:hAnsi="Calibri" w:cs="Calibri"/>
          <w:lang w:eastAsia="es-MX"/>
        </w:rPr>
      </w:pPr>
      <w:r w:rsidRPr="0011338D">
        <w:rPr>
          <w:rFonts w:ascii="Calibri" w:eastAsia="Times New Roman" w:hAnsi="Calibri" w:cs="Calibri"/>
          <w:lang w:eastAsia="es-MX"/>
        </w:rPr>
        <w:t>3. Promover el respeto a los derechos humanos</w:t>
      </w:r>
      <w:r w:rsidR="00862936">
        <w:rPr>
          <w:rFonts w:ascii="Calibri" w:eastAsia="Times New Roman" w:hAnsi="Calibri" w:cs="Calibri"/>
          <w:lang w:eastAsia="es-MX"/>
        </w:rPr>
        <w:t>, el uso del lenguaje incluyente y no sexista, así como</w:t>
      </w:r>
      <w:r w:rsidRPr="0011338D">
        <w:rPr>
          <w:rFonts w:ascii="Calibri" w:eastAsia="Times New Roman" w:hAnsi="Calibri" w:cs="Calibri"/>
          <w:lang w:eastAsia="es-MX"/>
        </w:rPr>
        <w:t xml:space="preserve"> la equidad de género</w:t>
      </w:r>
      <w:r w:rsidR="00862936">
        <w:rPr>
          <w:rFonts w:ascii="Calibri" w:eastAsia="Times New Roman" w:hAnsi="Calibri" w:cs="Calibri"/>
          <w:lang w:eastAsia="es-MX"/>
        </w:rPr>
        <w:t>.</w:t>
      </w:r>
    </w:p>
    <w:p w:rsidR="008F1531" w:rsidRDefault="00F82D45" w:rsidP="0011338D">
      <w:pPr>
        <w:shd w:val="clear" w:color="auto" w:fill="FFFFFF"/>
        <w:spacing w:before="100" w:beforeAutospacing="1" w:after="100" w:afterAutospacing="1"/>
        <w:jc w:val="both"/>
        <w:rPr>
          <w:rFonts w:ascii="Calibri" w:eastAsia="Times New Roman" w:hAnsi="Calibri" w:cs="Calibri"/>
          <w:lang w:eastAsia="es-MX"/>
        </w:rPr>
      </w:pPr>
      <w:r w:rsidRPr="0011338D">
        <w:rPr>
          <w:rFonts w:ascii="Calibri" w:hAnsi="Calibri" w:cs="Calibri"/>
        </w:rPr>
        <w:t xml:space="preserve">4. </w:t>
      </w:r>
      <w:r w:rsidRPr="0011338D">
        <w:rPr>
          <w:rFonts w:ascii="Calibri" w:eastAsia="Times New Roman" w:hAnsi="Calibri" w:cs="Calibri"/>
          <w:lang w:eastAsia="es-MX"/>
        </w:rPr>
        <w:t>Coadyuvar a la prevención</w:t>
      </w:r>
      <w:r w:rsidR="00862936">
        <w:rPr>
          <w:rFonts w:ascii="Calibri" w:eastAsia="Times New Roman" w:hAnsi="Calibri" w:cs="Calibri"/>
          <w:lang w:eastAsia="es-MX"/>
        </w:rPr>
        <w:t xml:space="preserve"> atención,</w:t>
      </w:r>
      <w:r w:rsidRPr="0011338D">
        <w:rPr>
          <w:rFonts w:ascii="Calibri" w:eastAsia="Times New Roman" w:hAnsi="Calibri" w:cs="Calibri"/>
          <w:lang w:eastAsia="es-MX"/>
        </w:rPr>
        <w:t xml:space="preserve"> identificación </w:t>
      </w:r>
      <w:r w:rsidR="00862936">
        <w:rPr>
          <w:rFonts w:ascii="Calibri" w:eastAsia="Times New Roman" w:hAnsi="Calibri" w:cs="Calibri"/>
          <w:lang w:eastAsia="es-MX"/>
        </w:rPr>
        <w:t xml:space="preserve">y erradicación </w:t>
      </w:r>
      <w:r w:rsidRPr="0011338D">
        <w:rPr>
          <w:rFonts w:ascii="Calibri" w:eastAsia="Times New Roman" w:hAnsi="Calibri" w:cs="Calibri"/>
          <w:lang w:eastAsia="es-MX"/>
        </w:rPr>
        <w:t>de la violencia de género y una cultura de inclusión en el ámbito educativo. </w:t>
      </w:r>
    </w:p>
    <w:p w:rsidR="00B8034E" w:rsidRDefault="00B8034E" w:rsidP="00B8034E">
      <w:pPr>
        <w:shd w:val="clear" w:color="auto" w:fill="FFFFFF"/>
        <w:spacing w:before="100" w:beforeAutospacing="1" w:after="100" w:afterAutospacing="1"/>
        <w:jc w:val="both"/>
        <w:rPr>
          <w:rFonts w:ascii="Calibri" w:eastAsia="Times New Roman" w:hAnsi="Calibri" w:cs="Calibri"/>
          <w:b/>
          <w:lang w:eastAsia="es-MX"/>
        </w:rPr>
      </w:pPr>
      <w:r w:rsidRPr="00434D90">
        <w:rPr>
          <w:rFonts w:ascii="Calibri" w:eastAsia="Times New Roman" w:hAnsi="Calibri" w:cs="Calibri"/>
          <w:b/>
          <w:lang w:eastAsia="es-MX"/>
        </w:rPr>
        <w:t>Esc</w:t>
      </w:r>
      <w:r>
        <w:rPr>
          <w:rFonts w:ascii="Calibri" w:eastAsia="Times New Roman" w:hAnsi="Calibri" w:cs="Calibri"/>
          <w:b/>
          <w:lang w:eastAsia="es-MX"/>
        </w:rPr>
        <w:t>uelas Participantes</w:t>
      </w:r>
    </w:p>
    <w:p w:rsidR="00B8034E" w:rsidRDefault="00B8034E" w:rsidP="00B8034E">
      <w:pPr>
        <w:shd w:val="clear" w:color="auto" w:fill="FFFFFF"/>
        <w:spacing w:before="100" w:beforeAutospacing="1" w:after="100" w:afterAutospacing="1" w:line="240" w:lineRule="auto"/>
        <w:contextualSpacing/>
        <w:jc w:val="both"/>
        <w:rPr>
          <w:rFonts w:ascii="Calibri" w:eastAsia="Times New Roman" w:hAnsi="Calibri" w:cs="Calibri"/>
          <w:lang w:eastAsia="es-MX"/>
        </w:rPr>
      </w:pPr>
      <w:r>
        <w:rPr>
          <w:rFonts w:ascii="Calibri" w:eastAsia="Times New Roman" w:hAnsi="Calibri" w:cs="Calibri"/>
          <w:lang w:eastAsia="es-MX"/>
        </w:rPr>
        <w:t>4</w:t>
      </w:r>
      <w:r w:rsidR="007365F5">
        <w:rPr>
          <w:rFonts w:ascii="Calibri" w:eastAsia="Times New Roman" w:hAnsi="Calibri" w:cs="Calibri"/>
          <w:lang w:eastAsia="es-MX"/>
        </w:rPr>
        <w:t>4</w:t>
      </w:r>
      <w:r>
        <w:rPr>
          <w:rFonts w:ascii="Calibri" w:eastAsia="Times New Roman" w:hAnsi="Calibri" w:cs="Calibri"/>
          <w:lang w:eastAsia="es-MX"/>
        </w:rPr>
        <w:t>0 escuelas 2018</w:t>
      </w:r>
    </w:p>
    <w:p w:rsidR="00B8034E" w:rsidRDefault="0073459D" w:rsidP="00B8034E">
      <w:pPr>
        <w:shd w:val="clear" w:color="auto" w:fill="FFFFFF"/>
        <w:spacing w:before="100" w:beforeAutospacing="1" w:after="100" w:afterAutospacing="1" w:line="240" w:lineRule="auto"/>
        <w:contextualSpacing/>
        <w:jc w:val="both"/>
        <w:rPr>
          <w:rFonts w:ascii="Calibri" w:eastAsia="Times New Roman" w:hAnsi="Calibri" w:cs="Calibri"/>
          <w:lang w:eastAsia="es-MX"/>
        </w:rPr>
      </w:pPr>
      <w:r>
        <w:rPr>
          <w:rFonts w:ascii="Calibri" w:eastAsia="Times New Roman" w:hAnsi="Calibri" w:cs="Calibri"/>
          <w:lang w:eastAsia="es-MX"/>
        </w:rPr>
        <w:t>400</w:t>
      </w:r>
      <w:r w:rsidR="00B8034E">
        <w:rPr>
          <w:rFonts w:ascii="Calibri" w:eastAsia="Times New Roman" w:hAnsi="Calibri" w:cs="Calibri"/>
          <w:lang w:eastAsia="es-MX"/>
        </w:rPr>
        <w:t xml:space="preserve"> escuelas 2019 </w:t>
      </w:r>
    </w:p>
    <w:p w:rsidR="00B8034E" w:rsidRDefault="00B8034E" w:rsidP="00B8034E">
      <w:pPr>
        <w:shd w:val="clear" w:color="auto" w:fill="FFFFFF"/>
        <w:spacing w:before="100" w:beforeAutospacing="1" w:after="100" w:afterAutospacing="1" w:line="240" w:lineRule="auto"/>
        <w:contextualSpacing/>
        <w:jc w:val="both"/>
        <w:rPr>
          <w:rFonts w:ascii="Calibri" w:eastAsia="Times New Roman" w:hAnsi="Calibri" w:cs="Calibri"/>
          <w:lang w:eastAsia="es-MX"/>
        </w:rPr>
      </w:pPr>
      <w:r>
        <w:rPr>
          <w:rFonts w:ascii="Calibri" w:eastAsia="Times New Roman" w:hAnsi="Calibri" w:cs="Calibri"/>
          <w:lang w:eastAsia="es-MX"/>
        </w:rPr>
        <w:t>400 escuelas 2020</w:t>
      </w:r>
    </w:p>
    <w:p w:rsidR="00B8034E" w:rsidRDefault="00B8034E" w:rsidP="00B8034E">
      <w:pPr>
        <w:shd w:val="clear" w:color="auto" w:fill="FFFFFF"/>
        <w:spacing w:before="100" w:beforeAutospacing="1" w:after="100" w:afterAutospacing="1" w:line="240" w:lineRule="auto"/>
        <w:contextualSpacing/>
        <w:jc w:val="both"/>
        <w:rPr>
          <w:rFonts w:ascii="Calibri" w:eastAsia="Times New Roman" w:hAnsi="Calibri" w:cs="Calibri"/>
          <w:lang w:eastAsia="es-MX"/>
        </w:rPr>
      </w:pPr>
      <w:r>
        <w:rPr>
          <w:rFonts w:ascii="Calibri" w:eastAsia="Times New Roman" w:hAnsi="Calibri" w:cs="Calibri"/>
          <w:lang w:eastAsia="es-MX"/>
        </w:rPr>
        <w:t>400 escuelas 2021</w:t>
      </w:r>
    </w:p>
    <w:p w:rsidR="00B8034E" w:rsidRDefault="00B8034E" w:rsidP="00B8034E">
      <w:pPr>
        <w:shd w:val="clear" w:color="auto" w:fill="FFFFFF"/>
        <w:spacing w:before="100" w:beforeAutospacing="1" w:after="100" w:afterAutospacing="1" w:line="240" w:lineRule="auto"/>
        <w:contextualSpacing/>
        <w:jc w:val="both"/>
        <w:rPr>
          <w:rFonts w:ascii="Calibri" w:eastAsia="Times New Roman" w:hAnsi="Calibri" w:cs="Calibri"/>
          <w:lang w:eastAsia="es-MX"/>
        </w:rPr>
      </w:pPr>
      <w:r>
        <w:rPr>
          <w:rFonts w:ascii="Calibri" w:eastAsia="Times New Roman" w:hAnsi="Calibri" w:cs="Calibri"/>
          <w:lang w:eastAsia="es-MX"/>
        </w:rPr>
        <w:t>400 escuelas 2022</w:t>
      </w:r>
    </w:p>
    <w:p w:rsidR="00B8034E" w:rsidRDefault="00B8034E" w:rsidP="00B8034E">
      <w:pPr>
        <w:shd w:val="clear" w:color="auto" w:fill="FFFFFF"/>
        <w:spacing w:before="100" w:beforeAutospacing="1" w:after="100" w:afterAutospacing="1" w:line="240" w:lineRule="auto"/>
        <w:contextualSpacing/>
        <w:jc w:val="both"/>
        <w:rPr>
          <w:rFonts w:ascii="Calibri" w:eastAsia="Times New Roman" w:hAnsi="Calibri" w:cs="Calibri"/>
          <w:lang w:eastAsia="es-MX"/>
        </w:rPr>
      </w:pPr>
    </w:p>
    <w:p w:rsidR="00B8034E" w:rsidRPr="00B8034E" w:rsidRDefault="00B8034E" w:rsidP="00B8034E">
      <w:pPr>
        <w:shd w:val="clear" w:color="auto" w:fill="FFFFFF"/>
        <w:spacing w:before="100" w:beforeAutospacing="1" w:after="100" w:afterAutospacing="1" w:line="240" w:lineRule="auto"/>
        <w:contextualSpacing/>
        <w:jc w:val="both"/>
        <w:rPr>
          <w:rFonts w:ascii="Calibri" w:eastAsia="Times New Roman" w:hAnsi="Calibri" w:cs="Calibri"/>
          <w:b/>
          <w:bCs/>
          <w:lang w:eastAsia="es-MX"/>
        </w:rPr>
      </w:pPr>
      <w:r w:rsidRPr="00B8034E">
        <w:rPr>
          <w:rFonts w:ascii="Calibri" w:eastAsia="Times New Roman" w:hAnsi="Calibri" w:cs="Calibri"/>
          <w:b/>
          <w:bCs/>
          <w:lang w:eastAsia="es-MX"/>
        </w:rPr>
        <w:t xml:space="preserve">Regiones </w:t>
      </w:r>
    </w:p>
    <w:p w:rsidR="00B8034E" w:rsidRPr="00B8034E" w:rsidRDefault="00B8034E" w:rsidP="00B8034E">
      <w:pPr>
        <w:jc w:val="both"/>
        <w:rPr>
          <w:rFonts w:ascii="Calibri" w:eastAsia="Times New Roman" w:hAnsi="Calibri" w:cs="Calibri"/>
          <w:lang w:eastAsia="es-MX"/>
        </w:rPr>
      </w:pPr>
      <w:r>
        <w:rPr>
          <w:rFonts w:ascii="Calibri" w:eastAsia="Times New Roman" w:hAnsi="Calibri" w:cs="Calibri"/>
          <w:lang w:eastAsia="es-MX"/>
        </w:rPr>
        <w:t>Pachuca, Tula, Tulancingo y Huejutla</w:t>
      </w:r>
    </w:p>
    <w:p w:rsidR="00F82D45" w:rsidRPr="00F82D45" w:rsidRDefault="00F82D45" w:rsidP="008F1531">
      <w:pPr>
        <w:shd w:val="clear" w:color="auto" w:fill="FFFFFF"/>
        <w:spacing w:before="100" w:beforeAutospacing="1" w:after="100" w:afterAutospacing="1"/>
        <w:jc w:val="center"/>
        <w:rPr>
          <w:rFonts w:ascii="Calibri" w:eastAsia="Times New Roman" w:hAnsi="Calibri" w:cs="Calibri"/>
          <w:b/>
          <w:sz w:val="24"/>
          <w:szCs w:val="24"/>
          <w:lang w:eastAsia="es-MX"/>
        </w:rPr>
      </w:pPr>
      <w:r>
        <w:rPr>
          <w:rFonts w:ascii="Calibri" w:eastAsia="Times New Roman" w:hAnsi="Calibri" w:cs="Calibri"/>
          <w:b/>
          <w:sz w:val="24"/>
          <w:szCs w:val="24"/>
          <w:lang w:eastAsia="es-MX"/>
        </w:rPr>
        <w:t>Taller de Formación en Perspectiva de Género</w:t>
      </w:r>
    </w:p>
    <w:p w:rsidR="00F82D45" w:rsidRPr="00F82D45" w:rsidRDefault="00F82D45" w:rsidP="0011338D">
      <w:pPr>
        <w:shd w:val="clear" w:color="auto" w:fill="FFFFFF"/>
        <w:spacing w:before="100" w:beforeAutospacing="1" w:after="100" w:afterAutospacing="1"/>
        <w:jc w:val="both"/>
        <w:rPr>
          <w:rFonts w:ascii="Calibri" w:hAnsi="Calibri" w:cs="Calibri"/>
          <w:b/>
          <w:sz w:val="24"/>
          <w:szCs w:val="24"/>
        </w:rPr>
      </w:pPr>
      <w:r w:rsidRPr="00F82D45">
        <w:rPr>
          <w:rFonts w:ascii="Calibri" w:hAnsi="Calibri" w:cs="Calibri"/>
          <w:b/>
          <w:sz w:val="24"/>
          <w:szCs w:val="24"/>
        </w:rPr>
        <w:t xml:space="preserve">Objetivo: </w:t>
      </w:r>
    </w:p>
    <w:p w:rsidR="0011338D" w:rsidRPr="0011338D" w:rsidRDefault="0011338D" w:rsidP="0011338D">
      <w:pPr>
        <w:shd w:val="clear" w:color="auto" w:fill="FFFFFF"/>
        <w:spacing w:before="100" w:beforeAutospacing="1" w:after="100" w:afterAutospacing="1"/>
        <w:jc w:val="both"/>
        <w:rPr>
          <w:rFonts w:ascii="Calibri" w:eastAsia="Times New Roman" w:hAnsi="Calibri" w:cs="Calibri"/>
          <w:lang w:eastAsia="es-MX"/>
        </w:rPr>
      </w:pPr>
      <w:r w:rsidRPr="006C1613">
        <w:rPr>
          <w:rFonts w:ascii="Calibri" w:hAnsi="Calibri" w:cs="Calibri"/>
          <w:sz w:val="24"/>
          <w:szCs w:val="24"/>
        </w:rPr>
        <w:t xml:space="preserve">Sensibilizar </w:t>
      </w:r>
      <w:r w:rsidRPr="006C1613">
        <w:rPr>
          <w:rFonts w:ascii="Calibri" w:eastAsia="Times New Roman" w:hAnsi="Calibri" w:cs="Calibri"/>
          <w:sz w:val="24"/>
          <w:szCs w:val="24"/>
          <w:lang w:eastAsia="es-MX"/>
        </w:rPr>
        <w:t>a figuras educativas en materia de perspectiva de género, igualdad y derechos humanos para que comprendan los elementos teórico-conceptuales y los mecanismos prácticos para el desarrollo de propuestas tendentes a erradicar la violencia contra las mujeres y niñas e incorporar la perspectiva de género en la práctica docente</w:t>
      </w:r>
      <w:r w:rsidR="00F82D45">
        <w:rPr>
          <w:rFonts w:ascii="Calibri" w:eastAsia="Times New Roman" w:hAnsi="Calibri" w:cs="Calibri"/>
          <w:lang w:eastAsia="es-MX"/>
        </w:rPr>
        <w:t>.</w:t>
      </w:r>
    </w:p>
    <w:p w:rsidR="008F1531" w:rsidRDefault="008F1531" w:rsidP="0011338D">
      <w:pPr>
        <w:shd w:val="clear" w:color="auto" w:fill="FFFFFF"/>
        <w:spacing w:before="100" w:beforeAutospacing="1" w:after="100" w:afterAutospacing="1"/>
        <w:jc w:val="both"/>
        <w:rPr>
          <w:rFonts w:ascii="Calibri" w:eastAsia="Times New Roman" w:hAnsi="Calibri" w:cs="Calibri"/>
          <w:b/>
          <w:lang w:eastAsia="es-MX"/>
        </w:rPr>
      </w:pPr>
    </w:p>
    <w:p w:rsidR="008F1531" w:rsidRPr="008F1531" w:rsidRDefault="008F1531" w:rsidP="008F1531">
      <w:pPr>
        <w:shd w:val="clear" w:color="auto" w:fill="FFFFFF"/>
        <w:spacing w:before="100" w:beforeAutospacing="1" w:after="100" w:afterAutospacing="1"/>
        <w:jc w:val="both"/>
        <w:rPr>
          <w:rFonts w:ascii="Calibri" w:eastAsia="Times New Roman" w:hAnsi="Calibri" w:cs="Calibri"/>
          <w:lang w:eastAsia="es-MX"/>
        </w:rPr>
      </w:pPr>
      <w:r w:rsidRPr="008F1531">
        <w:rPr>
          <w:rFonts w:ascii="Calibri" w:eastAsia="Times New Roman" w:hAnsi="Calibri" w:cs="Calibri"/>
          <w:lang w:eastAsia="es-MX"/>
        </w:rPr>
        <w:t>La estructura del manual contempla cinco apartados generales: en un primer momento se establece un breve recorrido histórico para comprender el surgimiento y el auge de las nociones de género como una categoría analítica resultado de determinados procesos sociales y culturales. En un segundo momento abordaremos algunos aspectos jurídicos, tanto internacionales, nacionales, como estatales y municipales; esto con la finalidad de comprender la responsabilidad que nos convoca a participar como funcionariado público; así como programas institucionales que buscan visibilizar la consolidación por un mundo más equitativo.</w:t>
      </w:r>
    </w:p>
    <w:p w:rsidR="008F1531" w:rsidRPr="008F1531" w:rsidRDefault="008F1531" w:rsidP="008F1531">
      <w:pPr>
        <w:shd w:val="clear" w:color="auto" w:fill="FFFFFF"/>
        <w:spacing w:before="100" w:beforeAutospacing="1" w:after="100" w:afterAutospacing="1"/>
        <w:jc w:val="both"/>
        <w:rPr>
          <w:rFonts w:ascii="Calibri" w:eastAsia="Times New Roman" w:hAnsi="Calibri" w:cs="Calibri"/>
          <w:lang w:eastAsia="es-MX"/>
        </w:rPr>
      </w:pPr>
      <w:r w:rsidRPr="008F1531">
        <w:rPr>
          <w:rFonts w:ascii="Calibri" w:eastAsia="Times New Roman" w:hAnsi="Calibri" w:cs="Calibri"/>
          <w:lang w:eastAsia="es-MX"/>
        </w:rPr>
        <w:t>En el tercer apartado ahondaremos en algunas precisiones conceptuales que consideramos son importantes conocer, esto con la finalidad de contar con una base que permita identificar y, por lo tanto, facilité la implementación de acciones basadas en la promoción de relaciones más justas y equitativas, tal como el Día Naranja.</w:t>
      </w:r>
    </w:p>
    <w:p w:rsidR="008F1531" w:rsidRPr="008F1531" w:rsidRDefault="008F1531" w:rsidP="008F1531">
      <w:pPr>
        <w:shd w:val="clear" w:color="auto" w:fill="FFFFFF"/>
        <w:spacing w:before="100" w:beforeAutospacing="1" w:after="100" w:afterAutospacing="1"/>
        <w:jc w:val="both"/>
        <w:rPr>
          <w:rFonts w:ascii="Calibri" w:eastAsia="Times New Roman" w:hAnsi="Calibri" w:cs="Calibri"/>
          <w:lang w:eastAsia="es-MX"/>
        </w:rPr>
      </w:pPr>
      <w:r w:rsidRPr="008F1531">
        <w:rPr>
          <w:rFonts w:ascii="Calibri" w:eastAsia="Times New Roman" w:hAnsi="Calibri" w:cs="Calibri"/>
          <w:lang w:eastAsia="es-MX"/>
        </w:rPr>
        <w:t>El cuarto apartado busca aterrizar las nociones conceptuales en nuestro ejercicio docente, contemplando algunos ejercicios exitosos en ámbitos educativos, sociales, comunitarios, culturales, entre otros. Por último, el quinto apartado presenta algunas sugerencias bibliográficas, cinematográficas y materiales diversos de consulta.</w:t>
      </w:r>
    </w:p>
    <w:p w:rsidR="00F57563" w:rsidRPr="00D25194" w:rsidRDefault="00F57563" w:rsidP="0011338D">
      <w:pPr>
        <w:shd w:val="clear" w:color="auto" w:fill="FFFFFF"/>
        <w:spacing w:before="100" w:beforeAutospacing="1" w:after="100" w:afterAutospacing="1"/>
        <w:jc w:val="both"/>
        <w:rPr>
          <w:rFonts w:ascii="Calibri" w:eastAsia="Times New Roman" w:hAnsi="Calibri" w:cs="Calibri"/>
          <w:b/>
          <w:lang w:eastAsia="es-MX"/>
        </w:rPr>
      </w:pPr>
      <w:r>
        <w:rPr>
          <w:noProof/>
        </w:rPr>
        <w:drawing>
          <wp:anchor distT="0" distB="0" distL="114300" distR="114300" simplePos="0" relativeHeight="251658240" behindDoc="0" locked="0" layoutInCell="1" allowOverlap="1" wp14:anchorId="5AA2A00F">
            <wp:simplePos x="0" y="0"/>
            <wp:positionH relativeFrom="column">
              <wp:posOffset>3862070</wp:posOffset>
            </wp:positionH>
            <wp:positionV relativeFrom="paragraph">
              <wp:posOffset>310515</wp:posOffset>
            </wp:positionV>
            <wp:extent cx="2142847" cy="2832067"/>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850" t="15422" r="36674" b="22342"/>
                    <a:stretch/>
                  </pic:blipFill>
                  <pic:spPr bwMode="auto">
                    <a:xfrm>
                      <a:off x="0" y="0"/>
                      <a:ext cx="2144309" cy="2833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38D">
        <w:rPr>
          <w:rFonts w:ascii="Calibri" w:eastAsia="Times New Roman" w:hAnsi="Calibri" w:cs="Calibri"/>
          <w:b/>
          <w:lang w:eastAsia="es-MX"/>
        </w:rPr>
        <w:t>Contenido Temático:</w:t>
      </w:r>
    </w:p>
    <w:tbl>
      <w:tblPr>
        <w:tblW w:w="4230" w:type="dxa"/>
        <w:tblCellMar>
          <w:left w:w="0" w:type="dxa"/>
          <w:right w:w="0" w:type="dxa"/>
        </w:tblCellMar>
        <w:tblLook w:val="0420" w:firstRow="1" w:lastRow="0" w:firstColumn="0" w:lastColumn="0" w:noHBand="0" w:noVBand="1"/>
      </w:tblPr>
      <w:tblGrid>
        <w:gridCol w:w="4230"/>
      </w:tblGrid>
      <w:tr w:rsidR="0011338D" w:rsidRPr="0011338D" w:rsidTr="00F57563">
        <w:trPr>
          <w:trHeight w:val="446"/>
        </w:trPr>
        <w:tc>
          <w:tcPr>
            <w:tcW w:w="4230" w:type="dxa"/>
            <w:tcBorders>
              <w:top w:val="single" w:sz="8" w:space="0" w:color="FEB80A"/>
              <w:left w:val="single" w:sz="8" w:space="0" w:color="FEB80A"/>
              <w:bottom w:val="single" w:sz="18" w:space="0" w:color="FEB80A"/>
              <w:right w:val="single" w:sz="8" w:space="0" w:color="FEB80A"/>
            </w:tcBorders>
            <w:shd w:val="clear" w:color="auto" w:fill="auto"/>
            <w:tcMar>
              <w:top w:w="72" w:type="dxa"/>
              <w:left w:w="144" w:type="dxa"/>
              <w:bottom w:w="72" w:type="dxa"/>
              <w:right w:w="144" w:type="dxa"/>
            </w:tcMar>
            <w:hideMark/>
          </w:tcPr>
          <w:p w:rsidR="0011338D" w:rsidRPr="0011338D" w:rsidRDefault="0011338D" w:rsidP="00F57563">
            <w:pPr>
              <w:rPr>
                <w:rFonts w:ascii="Calibri" w:hAnsi="Calibri" w:cs="Calibri"/>
              </w:rPr>
            </w:pPr>
            <w:r w:rsidRPr="0011338D">
              <w:rPr>
                <w:rFonts w:ascii="Calibri" w:hAnsi="Calibri" w:cs="Calibri"/>
              </w:rPr>
              <w:t>1.- ¿PORQUE HABLAR DE GÉNERO? ¿DE DÓNDE VIENE? ¿HACIA DÓNDE VA?</w:t>
            </w:r>
          </w:p>
        </w:tc>
      </w:tr>
      <w:tr w:rsidR="0011338D" w:rsidRPr="0011338D" w:rsidTr="00F57563">
        <w:trPr>
          <w:trHeight w:val="446"/>
        </w:trPr>
        <w:tc>
          <w:tcPr>
            <w:tcW w:w="4230" w:type="dxa"/>
            <w:tcBorders>
              <w:top w:val="single" w:sz="18" w:space="0" w:color="FEB80A"/>
              <w:left w:val="single" w:sz="8" w:space="0" w:color="FEB80A"/>
              <w:bottom w:val="single" w:sz="8" w:space="0" w:color="FEB80A"/>
              <w:right w:val="single" w:sz="8" w:space="0" w:color="FEB80A"/>
            </w:tcBorders>
            <w:shd w:val="clear" w:color="auto" w:fill="FFF3E7"/>
            <w:tcMar>
              <w:top w:w="72" w:type="dxa"/>
              <w:left w:w="144" w:type="dxa"/>
              <w:bottom w:w="72" w:type="dxa"/>
              <w:right w:w="144" w:type="dxa"/>
            </w:tcMar>
            <w:hideMark/>
          </w:tcPr>
          <w:p w:rsidR="0011338D" w:rsidRPr="0011338D" w:rsidRDefault="0011338D" w:rsidP="00F57563">
            <w:pPr>
              <w:rPr>
                <w:rFonts w:ascii="Calibri" w:hAnsi="Calibri" w:cs="Calibri"/>
              </w:rPr>
            </w:pPr>
            <w:r w:rsidRPr="0011338D">
              <w:rPr>
                <w:rFonts w:ascii="Calibri" w:hAnsi="Calibri" w:cs="Calibri"/>
              </w:rPr>
              <w:t xml:space="preserve">2.- MARCO JURÍDICO </w:t>
            </w:r>
          </w:p>
        </w:tc>
      </w:tr>
      <w:tr w:rsidR="0011338D" w:rsidRPr="0011338D" w:rsidTr="00F57563">
        <w:trPr>
          <w:trHeight w:val="446"/>
        </w:trPr>
        <w:tc>
          <w:tcPr>
            <w:tcW w:w="4230" w:type="dxa"/>
            <w:tcBorders>
              <w:top w:val="single" w:sz="8" w:space="0" w:color="FEB80A"/>
              <w:left w:val="single" w:sz="8" w:space="0" w:color="FEB80A"/>
              <w:bottom w:val="single" w:sz="8" w:space="0" w:color="FEB80A"/>
              <w:right w:val="single" w:sz="8" w:space="0" w:color="FEB80A"/>
            </w:tcBorders>
            <w:shd w:val="clear" w:color="auto" w:fill="auto"/>
            <w:tcMar>
              <w:top w:w="72" w:type="dxa"/>
              <w:left w:w="144" w:type="dxa"/>
              <w:bottom w:w="72" w:type="dxa"/>
              <w:right w:w="144" w:type="dxa"/>
            </w:tcMar>
            <w:hideMark/>
          </w:tcPr>
          <w:p w:rsidR="0011338D" w:rsidRPr="0011338D" w:rsidRDefault="0011338D" w:rsidP="00F57563">
            <w:pPr>
              <w:rPr>
                <w:rFonts w:ascii="Calibri" w:hAnsi="Calibri" w:cs="Calibri"/>
              </w:rPr>
            </w:pPr>
            <w:r w:rsidRPr="0011338D">
              <w:rPr>
                <w:rFonts w:ascii="Calibri" w:hAnsi="Calibri" w:cs="Calibri"/>
              </w:rPr>
              <w:t xml:space="preserve">3.- PRECISIONES CONCEPTUALES </w:t>
            </w:r>
          </w:p>
        </w:tc>
      </w:tr>
      <w:tr w:rsidR="0011338D" w:rsidRPr="0011338D" w:rsidTr="00F57563">
        <w:trPr>
          <w:trHeight w:val="446"/>
        </w:trPr>
        <w:tc>
          <w:tcPr>
            <w:tcW w:w="4230" w:type="dxa"/>
            <w:tcBorders>
              <w:top w:val="single" w:sz="8" w:space="0" w:color="FEB80A"/>
              <w:left w:val="single" w:sz="8" w:space="0" w:color="FEB80A"/>
              <w:bottom w:val="single" w:sz="8" w:space="0" w:color="FEB80A"/>
              <w:right w:val="single" w:sz="8" w:space="0" w:color="FEB80A"/>
            </w:tcBorders>
            <w:shd w:val="clear" w:color="auto" w:fill="FFF3E7"/>
            <w:tcMar>
              <w:top w:w="72" w:type="dxa"/>
              <w:left w:w="144" w:type="dxa"/>
              <w:bottom w:w="72" w:type="dxa"/>
              <w:right w:w="144" w:type="dxa"/>
            </w:tcMar>
            <w:hideMark/>
          </w:tcPr>
          <w:p w:rsidR="0011338D" w:rsidRPr="0011338D" w:rsidRDefault="0011338D" w:rsidP="00F57563">
            <w:pPr>
              <w:rPr>
                <w:rFonts w:ascii="Calibri" w:hAnsi="Calibri" w:cs="Calibri"/>
              </w:rPr>
            </w:pPr>
            <w:r w:rsidRPr="0011338D">
              <w:rPr>
                <w:rFonts w:ascii="Calibri" w:hAnsi="Calibri" w:cs="Calibri"/>
              </w:rPr>
              <w:t>4.- EJEMPLOS EXITOSOS DE IMPLEMENTACIÓN DE LA PERSPECTIVA DE GÉNERO</w:t>
            </w:r>
          </w:p>
        </w:tc>
      </w:tr>
      <w:tr w:rsidR="0011338D" w:rsidRPr="0011338D" w:rsidTr="00F57563">
        <w:trPr>
          <w:trHeight w:val="446"/>
        </w:trPr>
        <w:tc>
          <w:tcPr>
            <w:tcW w:w="4230" w:type="dxa"/>
            <w:tcBorders>
              <w:top w:val="single" w:sz="8" w:space="0" w:color="FEB80A"/>
              <w:left w:val="single" w:sz="8" w:space="0" w:color="FEB80A"/>
              <w:bottom w:val="single" w:sz="8" w:space="0" w:color="FEB80A"/>
              <w:right w:val="single" w:sz="8" w:space="0" w:color="FEB80A"/>
            </w:tcBorders>
            <w:shd w:val="clear" w:color="auto" w:fill="auto"/>
            <w:tcMar>
              <w:top w:w="72" w:type="dxa"/>
              <w:left w:w="144" w:type="dxa"/>
              <w:bottom w:w="72" w:type="dxa"/>
              <w:right w:w="144" w:type="dxa"/>
            </w:tcMar>
            <w:hideMark/>
          </w:tcPr>
          <w:p w:rsidR="0011338D" w:rsidRPr="0011338D" w:rsidRDefault="0011338D" w:rsidP="00F57563">
            <w:pPr>
              <w:rPr>
                <w:rFonts w:ascii="Calibri" w:hAnsi="Calibri" w:cs="Calibri"/>
              </w:rPr>
            </w:pPr>
            <w:r w:rsidRPr="0011338D">
              <w:rPr>
                <w:rFonts w:ascii="Calibri" w:hAnsi="Calibri" w:cs="Calibri"/>
              </w:rPr>
              <w:t xml:space="preserve">5.- ALGUNOS RECURSOS MATERIALES </w:t>
            </w:r>
          </w:p>
        </w:tc>
      </w:tr>
    </w:tbl>
    <w:p w:rsidR="0011338D" w:rsidRDefault="0011338D" w:rsidP="0011338D">
      <w:pPr>
        <w:jc w:val="both"/>
        <w:rPr>
          <w:rFonts w:ascii="Calibri" w:hAnsi="Calibri" w:cs="Calibri"/>
          <w:b/>
        </w:rPr>
      </w:pPr>
    </w:p>
    <w:p w:rsidR="0011338D" w:rsidRDefault="0011338D" w:rsidP="00985B1E">
      <w:pPr>
        <w:rPr>
          <w:rFonts w:ascii="Calibri" w:hAnsi="Calibri" w:cs="Calibri"/>
          <w:b/>
        </w:rPr>
      </w:pPr>
    </w:p>
    <w:p w:rsidR="00B8034E" w:rsidRDefault="00B8034E" w:rsidP="00985B1E">
      <w:pPr>
        <w:rPr>
          <w:rFonts w:ascii="Calibri" w:hAnsi="Calibri" w:cs="Calibri"/>
          <w:b/>
        </w:rPr>
      </w:pPr>
    </w:p>
    <w:p w:rsidR="00F57563" w:rsidRDefault="00F57563" w:rsidP="00EF037C">
      <w:pPr>
        <w:spacing w:after="0" w:line="240" w:lineRule="auto"/>
        <w:contextualSpacing/>
        <w:jc w:val="center"/>
        <w:rPr>
          <w:b/>
          <w:color w:val="E36C0A" w:themeColor="accent6" w:themeShade="BF"/>
        </w:rPr>
      </w:pPr>
      <w:bookmarkStart w:id="0" w:name="_GoBack"/>
      <w:bookmarkEnd w:id="0"/>
    </w:p>
    <w:p w:rsidR="00EF037C" w:rsidRPr="001E4B09" w:rsidRDefault="00EF037C" w:rsidP="001E4B09">
      <w:pPr>
        <w:spacing w:after="0" w:line="240" w:lineRule="auto"/>
        <w:contextualSpacing/>
        <w:jc w:val="center"/>
        <w:rPr>
          <w:b/>
          <w:color w:val="E36C0A" w:themeColor="accent6" w:themeShade="BF"/>
        </w:rPr>
      </w:pPr>
      <w:r>
        <w:rPr>
          <w:b/>
          <w:color w:val="E36C0A" w:themeColor="accent6" w:themeShade="BF"/>
        </w:rPr>
        <w:t>PLAN DE TRABAJO</w:t>
      </w:r>
      <w:r w:rsidR="008B0D02">
        <w:rPr>
          <w:b/>
          <w:color w:val="E36C0A" w:themeColor="accent6" w:themeShade="BF"/>
        </w:rPr>
        <w:t xml:space="preserve"> PARA ESCUELAS DE EDUCACIÓN BÁSICA</w:t>
      </w:r>
    </w:p>
    <w:p w:rsidR="00EF037C" w:rsidRDefault="00EF037C" w:rsidP="00EF037C">
      <w:pPr>
        <w:spacing w:after="0" w:line="240" w:lineRule="auto"/>
        <w:contextualSpacing/>
        <w:jc w:val="center"/>
        <w:rPr>
          <w:rFonts w:ascii="Arial" w:hAnsi="Arial" w:cs="Arial"/>
          <w:b/>
          <w:color w:val="000000" w:themeColor="text1"/>
          <w:sz w:val="18"/>
          <w:szCs w:val="18"/>
        </w:rPr>
      </w:pPr>
      <w:r w:rsidRPr="0043546E">
        <w:rPr>
          <w:rFonts w:ascii="Arial" w:hAnsi="Arial" w:cs="Arial"/>
          <w:b/>
          <w:bCs/>
          <w:color w:val="000000"/>
          <w:kern w:val="24"/>
          <w:sz w:val="18"/>
          <w:szCs w:val="18"/>
          <w:lang w:val="es-ES_tradnl"/>
        </w:rPr>
        <w:t xml:space="preserve">Nombre del Indicador: </w:t>
      </w:r>
      <w:r w:rsidRPr="0043546E">
        <w:rPr>
          <w:rFonts w:ascii="Arial" w:hAnsi="Arial" w:cs="Arial"/>
          <w:b/>
          <w:color w:val="000000" w:themeColor="text1"/>
          <w:sz w:val="18"/>
          <w:szCs w:val="18"/>
        </w:rPr>
        <w:t>Porcentaje de acciones con perspectiva de género orientadas a disminuir las brechas</w:t>
      </w:r>
      <w:r>
        <w:rPr>
          <w:rFonts w:ascii="Arial" w:hAnsi="Arial" w:cs="Arial"/>
          <w:b/>
          <w:color w:val="000000" w:themeColor="text1"/>
          <w:sz w:val="18"/>
          <w:szCs w:val="18"/>
        </w:rPr>
        <w:t xml:space="preserve"> de </w:t>
      </w:r>
      <w:r w:rsidRPr="0043546E">
        <w:rPr>
          <w:rFonts w:ascii="Arial" w:hAnsi="Arial" w:cs="Arial"/>
          <w:b/>
          <w:color w:val="000000" w:themeColor="text1"/>
          <w:sz w:val="18"/>
          <w:szCs w:val="18"/>
        </w:rPr>
        <w:t>desigualdad entre mujeres y hombres en escuelas</w:t>
      </w:r>
      <w:r>
        <w:rPr>
          <w:rFonts w:ascii="Arial" w:hAnsi="Arial" w:cs="Arial"/>
          <w:b/>
          <w:color w:val="000000" w:themeColor="text1"/>
          <w:sz w:val="18"/>
          <w:szCs w:val="18"/>
        </w:rPr>
        <w:t xml:space="preserve"> </w:t>
      </w:r>
      <w:r w:rsidRPr="0043546E">
        <w:rPr>
          <w:rFonts w:ascii="Arial" w:hAnsi="Arial" w:cs="Arial"/>
          <w:b/>
          <w:color w:val="000000" w:themeColor="text1"/>
          <w:sz w:val="18"/>
          <w:szCs w:val="18"/>
        </w:rPr>
        <w:t>de educación básica</w:t>
      </w:r>
      <w:r w:rsidR="00981EBB">
        <w:rPr>
          <w:rFonts w:ascii="Arial" w:hAnsi="Arial" w:cs="Arial"/>
          <w:b/>
          <w:color w:val="000000" w:themeColor="text1"/>
          <w:sz w:val="18"/>
          <w:szCs w:val="18"/>
        </w:rPr>
        <w:t xml:space="preserve">, media superior y superior. </w:t>
      </w:r>
    </w:p>
    <w:p w:rsidR="00EF037C" w:rsidRPr="00B13567" w:rsidRDefault="00EF037C" w:rsidP="00EF037C">
      <w:pPr>
        <w:spacing w:after="0" w:line="240" w:lineRule="auto"/>
        <w:contextualSpacing/>
        <w:jc w:val="center"/>
        <w:rPr>
          <w:rFonts w:ascii="Arial" w:hAnsi="Arial" w:cs="Arial"/>
          <w:color w:val="000000" w:themeColor="text1"/>
          <w:sz w:val="18"/>
          <w:szCs w:val="18"/>
        </w:rPr>
      </w:pPr>
    </w:p>
    <w:tbl>
      <w:tblPr>
        <w:tblStyle w:val="Tablaconcuadrcula"/>
        <w:tblW w:w="10773" w:type="dxa"/>
        <w:tblInd w:w="-572" w:type="dxa"/>
        <w:tblLook w:val="04A0" w:firstRow="1" w:lastRow="0" w:firstColumn="1" w:lastColumn="0" w:noHBand="0" w:noVBand="1"/>
      </w:tblPr>
      <w:tblGrid>
        <w:gridCol w:w="1276"/>
        <w:gridCol w:w="1257"/>
        <w:gridCol w:w="2999"/>
        <w:gridCol w:w="966"/>
        <w:gridCol w:w="1070"/>
        <w:gridCol w:w="2004"/>
        <w:gridCol w:w="1201"/>
      </w:tblGrid>
      <w:tr w:rsidR="00F57563" w:rsidTr="00F57563">
        <w:tc>
          <w:tcPr>
            <w:tcW w:w="1276" w:type="dxa"/>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Fase</w:t>
            </w:r>
          </w:p>
        </w:tc>
        <w:tc>
          <w:tcPr>
            <w:tcW w:w="1134" w:type="dxa"/>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Línea estratégica</w:t>
            </w:r>
          </w:p>
        </w:tc>
        <w:tc>
          <w:tcPr>
            <w:tcW w:w="3017" w:type="dxa"/>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 xml:space="preserve">Acciones </w:t>
            </w:r>
          </w:p>
        </w:tc>
        <w:tc>
          <w:tcPr>
            <w:tcW w:w="0" w:type="auto"/>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 xml:space="preserve">Porcentaje asignado a las acciones </w:t>
            </w:r>
          </w:p>
        </w:tc>
        <w:tc>
          <w:tcPr>
            <w:tcW w:w="0" w:type="auto"/>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 xml:space="preserve">Fecha de conclusión </w:t>
            </w:r>
          </w:p>
        </w:tc>
        <w:tc>
          <w:tcPr>
            <w:tcW w:w="0" w:type="auto"/>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 xml:space="preserve">Descripción de la evidencia </w:t>
            </w:r>
          </w:p>
        </w:tc>
        <w:tc>
          <w:tcPr>
            <w:tcW w:w="1207" w:type="dxa"/>
            <w:shd w:val="clear" w:color="auto" w:fill="BFBFBF" w:themeFill="background1" w:themeFillShade="BF"/>
          </w:tcPr>
          <w:p w:rsidR="00EF037C" w:rsidRPr="00DE710B" w:rsidRDefault="00EF037C" w:rsidP="007733B4">
            <w:pPr>
              <w:contextualSpacing/>
              <w:jc w:val="center"/>
              <w:rPr>
                <w:rFonts w:ascii="Graphik Regular" w:hAnsi="Graphik Regular" w:cs="Arial"/>
                <w:b/>
                <w:color w:val="660066"/>
                <w:sz w:val="16"/>
                <w:szCs w:val="16"/>
              </w:rPr>
            </w:pPr>
            <w:r w:rsidRPr="00DE710B">
              <w:rPr>
                <w:rFonts w:ascii="Graphik Regular" w:hAnsi="Graphik Regular" w:cs="Arial"/>
                <w:b/>
                <w:color w:val="660066"/>
                <w:sz w:val="16"/>
                <w:szCs w:val="16"/>
              </w:rPr>
              <w:t xml:space="preserve">Año de cierre con la acción </w:t>
            </w:r>
          </w:p>
        </w:tc>
      </w:tr>
      <w:tr w:rsidR="00F57563" w:rsidTr="00F57563">
        <w:tc>
          <w:tcPr>
            <w:tcW w:w="1276" w:type="dxa"/>
          </w:tcPr>
          <w:p w:rsidR="00EF037C" w:rsidRPr="008B0D02" w:rsidRDefault="00EF037C" w:rsidP="007733B4">
            <w:pPr>
              <w:contextualSpacing/>
              <w:jc w:val="center"/>
              <w:rPr>
                <w:rFonts w:ascii="Arial" w:hAnsi="Arial" w:cs="Arial"/>
                <w:sz w:val="16"/>
                <w:szCs w:val="16"/>
              </w:rPr>
            </w:pPr>
            <w:r w:rsidRPr="00DA293D">
              <w:rPr>
                <w:rFonts w:ascii="Arial" w:hAnsi="Arial" w:cs="Arial"/>
                <w:b/>
                <w:bCs/>
                <w:color w:val="000000" w:themeColor="text1"/>
                <w:sz w:val="16"/>
                <w:szCs w:val="16"/>
              </w:rPr>
              <w:t>1.-</w:t>
            </w:r>
            <w:r w:rsidRPr="008B0D02">
              <w:rPr>
                <w:rFonts w:ascii="Arial" w:hAnsi="Arial" w:cs="Arial"/>
                <w:color w:val="000000" w:themeColor="text1"/>
                <w:sz w:val="16"/>
                <w:szCs w:val="16"/>
              </w:rPr>
              <w:t>Capacitación y Sensibilización del Programa Perspectiva de Género en la Escuel</w:t>
            </w:r>
            <w:r w:rsidR="00F57563" w:rsidRPr="008B0D02">
              <w:rPr>
                <w:rFonts w:ascii="Arial" w:hAnsi="Arial" w:cs="Arial"/>
                <w:color w:val="000000" w:themeColor="text1"/>
                <w:sz w:val="16"/>
                <w:szCs w:val="16"/>
              </w:rPr>
              <w:t>a</w:t>
            </w:r>
          </w:p>
        </w:tc>
        <w:tc>
          <w:tcPr>
            <w:tcW w:w="1134" w:type="dxa"/>
            <w:vMerge w:val="restart"/>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rPr>
                <w:rFonts w:ascii="Arial" w:hAnsi="Arial" w:cs="Arial"/>
                <w:sz w:val="16"/>
                <w:szCs w:val="16"/>
              </w:rPr>
            </w:pPr>
          </w:p>
          <w:p w:rsidR="00EF037C" w:rsidRPr="008B0D02" w:rsidRDefault="00EF037C" w:rsidP="007733B4">
            <w:pPr>
              <w:contextualSpacing/>
              <w:rPr>
                <w:rFonts w:ascii="Arial" w:hAnsi="Arial" w:cs="Arial"/>
                <w:sz w:val="16"/>
                <w:szCs w:val="16"/>
              </w:rPr>
            </w:pPr>
          </w:p>
          <w:p w:rsidR="00EF037C" w:rsidRPr="008B0D02" w:rsidRDefault="00EF037C" w:rsidP="007733B4">
            <w:pPr>
              <w:contextualSpacing/>
              <w:rPr>
                <w:rFonts w:ascii="Arial" w:hAnsi="Arial" w:cs="Arial"/>
                <w:sz w:val="16"/>
                <w:szCs w:val="16"/>
              </w:rPr>
            </w:pPr>
          </w:p>
          <w:p w:rsidR="00EF037C" w:rsidRPr="008B0D02" w:rsidRDefault="00EF037C" w:rsidP="007733B4">
            <w:pPr>
              <w:contextualSpacing/>
              <w:rPr>
                <w:rFonts w:ascii="Arial" w:hAnsi="Arial" w:cs="Arial"/>
                <w:sz w:val="16"/>
                <w:szCs w:val="16"/>
              </w:rPr>
            </w:pPr>
          </w:p>
          <w:p w:rsidR="00EF037C" w:rsidRPr="008B0D02" w:rsidRDefault="00EF037C" w:rsidP="007733B4">
            <w:pPr>
              <w:contextualSpacing/>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 xml:space="preserve">Desarrollo y fortalecimiento de las actividades </w:t>
            </w:r>
          </w:p>
        </w:tc>
        <w:tc>
          <w:tcPr>
            <w:tcW w:w="3017" w:type="dxa"/>
          </w:tcPr>
          <w:p w:rsidR="00EF037C" w:rsidRPr="008B0D02" w:rsidRDefault="00EF037C" w:rsidP="007733B4">
            <w:pPr>
              <w:spacing w:after="120"/>
              <w:jc w:val="both"/>
              <w:rPr>
                <w:rFonts w:ascii="Arial" w:hAnsi="Arial" w:cs="Arial"/>
                <w:sz w:val="16"/>
                <w:szCs w:val="16"/>
              </w:rPr>
            </w:pPr>
            <w:r w:rsidRPr="008B0D02">
              <w:rPr>
                <w:rFonts w:ascii="Arial" w:hAnsi="Arial" w:cs="Arial"/>
                <w:color w:val="000000" w:themeColor="text1"/>
                <w:sz w:val="16"/>
                <w:szCs w:val="16"/>
              </w:rPr>
              <w:t>Taller de Formación en Perspectiva de Género</w:t>
            </w:r>
            <w:r w:rsidR="00F57563" w:rsidRPr="008B0D02">
              <w:rPr>
                <w:rFonts w:ascii="Arial" w:hAnsi="Arial" w:cs="Arial"/>
                <w:color w:val="000000" w:themeColor="text1"/>
                <w:sz w:val="16"/>
                <w:szCs w:val="16"/>
              </w:rPr>
              <w:t xml:space="preserve"> que imparte personal de la Dirección de la Unidad Institucional para la Igualdad entre Mujeres y Hombres </w:t>
            </w:r>
            <w:r w:rsidRPr="008B0D02">
              <w:rPr>
                <w:rFonts w:ascii="Arial" w:hAnsi="Arial" w:cs="Arial"/>
                <w:color w:val="000000" w:themeColor="text1"/>
                <w:sz w:val="16"/>
                <w:szCs w:val="16"/>
              </w:rPr>
              <w:t xml:space="preserve">para figuras educativas (personal directivo, docente, jefatura de sector o supervisión) en los temas: </w:t>
            </w:r>
          </w:p>
          <w:p w:rsidR="00EF037C" w:rsidRPr="008B0D02" w:rsidRDefault="00EF037C" w:rsidP="007733B4">
            <w:pPr>
              <w:contextualSpacing/>
              <w:jc w:val="both"/>
              <w:rPr>
                <w:rFonts w:ascii="Arial" w:hAnsi="Arial" w:cs="Arial"/>
                <w:color w:val="000000" w:themeColor="text1"/>
                <w:sz w:val="16"/>
                <w:szCs w:val="16"/>
              </w:rPr>
            </w:pPr>
            <w:r w:rsidRPr="008B0D02">
              <w:rPr>
                <w:rFonts w:ascii="Arial" w:hAnsi="Arial" w:cs="Arial"/>
                <w:color w:val="000000" w:themeColor="text1"/>
                <w:sz w:val="16"/>
                <w:szCs w:val="16"/>
              </w:rPr>
              <w:t>1.- ¿Porque hablar de género? ¿de dónde viene? ¿hacia dónde va?</w:t>
            </w:r>
          </w:p>
          <w:p w:rsidR="00EF037C" w:rsidRPr="008B0D02" w:rsidRDefault="00EF037C" w:rsidP="007733B4">
            <w:pPr>
              <w:contextualSpacing/>
              <w:jc w:val="both"/>
              <w:rPr>
                <w:rFonts w:ascii="Arial" w:hAnsi="Arial" w:cs="Arial"/>
                <w:color w:val="000000" w:themeColor="text1"/>
                <w:sz w:val="16"/>
                <w:szCs w:val="16"/>
              </w:rPr>
            </w:pPr>
            <w:r w:rsidRPr="008B0D02">
              <w:rPr>
                <w:rFonts w:ascii="Arial" w:hAnsi="Arial" w:cs="Arial"/>
                <w:color w:val="000000" w:themeColor="text1"/>
                <w:sz w:val="16"/>
                <w:szCs w:val="16"/>
              </w:rPr>
              <w:t xml:space="preserve">2.- Marco jurídico </w:t>
            </w:r>
          </w:p>
          <w:p w:rsidR="00EF037C" w:rsidRPr="008B0D02" w:rsidRDefault="00EF037C" w:rsidP="007733B4">
            <w:pPr>
              <w:contextualSpacing/>
              <w:jc w:val="both"/>
              <w:rPr>
                <w:rFonts w:ascii="Arial" w:hAnsi="Arial" w:cs="Arial"/>
                <w:color w:val="000000" w:themeColor="text1"/>
                <w:sz w:val="16"/>
                <w:szCs w:val="16"/>
              </w:rPr>
            </w:pPr>
            <w:r w:rsidRPr="008B0D02">
              <w:rPr>
                <w:rFonts w:ascii="Arial" w:hAnsi="Arial" w:cs="Arial"/>
                <w:color w:val="000000" w:themeColor="text1"/>
                <w:sz w:val="16"/>
                <w:szCs w:val="16"/>
              </w:rPr>
              <w:t xml:space="preserve">3.- Precisiones conceptuales </w:t>
            </w:r>
          </w:p>
          <w:p w:rsidR="00EF037C" w:rsidRPr="008B0D02" w:rsidRDefault="00EF037C" w:rsidP="007733B4">
            <w:pPr>
              <w:contextualSpacing/>
              <w:jc w:val="both"/>
              <w:rPr>
                <w:rFonts w:ascii="Arial" w:hAnsi="Arial" w:cs="Arial"/>
                <w:color w:val="000000" w:themeColor="text1"/>
                <w:sz w:val="16"/>
                <w:szCs w:val="16"/>
              </w:rPr>
            </w:pPr>
            <w:r w:rsidRPr="008B0D02">
              <w:rPr>
                <w:rFonts w:ascii="Arial" w:hAnsi="Arial" w:cs="Arial"/>
                <w:color w:val="000000" w:themeColor="text1"/>
                <w:sz w:val="16"/>
                <w:szCs w:val="16"/>
              </w:rPr>
              <w:t>4.- Ejemplos exitosos de implementación de la perspectiva de género</w:t>
            </w:r>
          </w:p>
          <w:p w:rsidR="00EF037C" w:rsidRPr="008B0D02" w:rsidRDefault="00EF037C" w:rsidP="007733B4">
            <w:pPr>
              <w:contextualSpacing/>
              <w:jc w:val="both"/>
              <w:rPr>
                <w:rFonts w:ascii="Arial" w:hAnsi="Arial" w:cs="Arial"/>
                <w:color w:val="000000" w:themeColor="text1"/>
                <w:sz w:val="16"/>
                <w:szCs w:val="16"/>
              </w:rPr>
            </w:pPr>
            <w:r w:rsidRPr="008B0D02">
              <w:rPr>
                <w:rFonts w:ascii="Arial" w:hAnsi="Arial" w:cs="Arial"/>
                <w:color w:val="000000" w:themeColor="text1"/>
                <w:sz w:val="16"/>
                <w:szCs w:val="16"/>
              </w:rPr>
              <w:t>5.- Algunos recursos materiales</w:t>
            </w:r>
          </w:p>
        </w:tc>
        <w:tc>
          <w:tcPr>
            <w:tcW w:w="0" w:type="auto"/>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10%</w:t>
            </w:r>
          </w:p>
        </w:tc>
        <w:tc>
          <w:tcPr>
            <w:tcW w:w="0" w:type="auto"/>
          </w:tcPr>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 xml:space="preserve"> Anual </w:t>
            </w:r>
          </w:p>
          <w:p w:rsidR="00EF037C" w:rsidRPr="00302921" w:rsidRDefault="008B0D02" w:rsidP="007733B4">
            <w:pPr>
              <w:contextualSpacing/>
              <w:jc w:val="center"/>
              <w:rPr>
                <w:rFonts w:ascii="Arial" w:hAnsi="Arial" w:cs="Arial"/>
                <w:b/>
                <w:bCs/>
                <w:sz w:val="16"/>
                <w:szCs w:val="16"/>
              </w:rPr>
            </w:pPr>
            <w:r w:rsidRPr="00302921">
              <w:rPr>
                <w:rFonts w:ascii="Arial" w:hAnsi="Arial" w:cs="Arial"/>
                <w:b/>
                <w:bCs/>
                <w:sz w:val="16"/>
                <w:szCs w:val="16"/>
              </w:rPr>
              <w:t xml:space="preserve">(Abril – Mayo) </w:t>
            </w:r>
          </w:p>
        </w:tc>
        <w:tc>
          <w:tcPr>
            <w:tcW w:w="0" w:type="auto"/>
          </w:tcPr>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Listas de asistencia, cuestionarios, cédula de información con compromisos, evidencia fotográfica y entrega de manuales los cuales se encuentran disponibles en versión digital, así como la presentación</w:t>
            </w:r>
            <w:r w:rsidR="008B0D02">
              <w:rPr>
                <w:rFonts w:ascii="Arial" w:hAnsi="Arial" w:cs="Arial"/>
                <w:sz w:val="16"/>
                <w:szCs w:val="16"/>
              </w:rPr>
              <w:t xml:space="preserve"> del taller</w:t>
            </w:r>
            <w:r w:rsidRPr="008B0D02">
              <w:rPr>
                <w:rFonts w:ascii="Arial" w:hAnsi="Arial" w:cs="Arial"/>
                <w:sz w:val="16"/>
                <w:szCs w:val="16"/>
              </w:rPr>
              <w:t xml:space="preserve"> y videos en la página </w:t>
            </w:r>
          </w:p>
          <w:p w:rsidR="00EF037C" w:rsidRPr="008B0D02" w:rsidRDefault="00EF10AD" w:rsidP="007733B4">
            <w:pPr>
              <w:contextualSpacing/>
              <w:jc w:val="center"/>
              <w:rPr>
                <w:rFonts w:ascii="Arial" w:hAnsi="Arial" w:cs="Arial"/>
                <w:sz w:val="16"/>
                <w:szCs w:val="16"/>
              </w:rPr>
            </w:pPr>
            <w:hyperlink r:id="rId12" w:history="1">
              <w:r w:rsidR="00EF037C" w:rsidRPr="008B0D02">
                <w:rPr>
                  <w:rStyle w:val="Hipervnculo"/>
                  <w:rFonts w:ascii="Arial" w:hAnsi="Arial" w:cs="Arial"/>
                  <w:sz w:val="16"/>
                  <w:szCs w:val="16"/>
                </w:rPr>
                <w:t>http://uiimh.seph.gob.mx/</w:t>
              </w:r>
            </w:hyperlink>
          </w:p>
        </w:tc>
        <w:tc>
          <w:tcPr>
            <w:tcW w:w="1207" w:type="dxa"/>
          </w:tcPr>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r w:rsidRPr="008B0D02">
              <w:rPr>
                <w:rFonts w:ascii="Arial" w:hAnsi="Arial" w:cs="Arial"/>
                <w:sz w:val="12"/>
                <w:szCs w:val="12"/>
              </w:rPr>
              <w:t>Cada año de 2019 a 2022</w:t>
            </w:r>
          </w:p>
        </w:tc>
      </w:tr>
      <w:tr w:rsidR="00F57563" w:rsidTr="00F57563">
        <w:trPr>
          <w:trHeight w:val="736"/>
        </w:trPr>
        <w:tc>
          <w:tcPr>
            <w:tcW w:w="1276" w:type="dxa"/>
            <w:vMerge w:val="restart"/>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2.- Acciones con perspectiva de género en escuelas</w:t>
            </w:r>
          </w:p>
        </w:tc>
        <w:tc>
          <w:tcPr>
            <w:tcW w:w="1134" w:type="dxa"/>
            <w:vMerge/>
          </w:tcPr>
          <w:p w:rsidR="00EF037C" w:rsidRPr="008B0D02" w:rsidRDefault="00EF037C" w:rsidP="007733B4">
            <w:pPr>
              <w:contextualSpacing/>
              <w:jc w:val="center"/>
              <w:rPr>
                <w:rFonts w:ascii="Arial" w:hAnsi="Arial" w:cs="Arial"/>
                <w:sz w:val="16"/>
                <w:szCs w:val="16"/>
              </w:rPr>
            </w:pPr>
          </w:p>
        </w:tc>
        <w:tc>
          <w:tcPr>
            <w:tcW w:w="3017" w:type="dxa"/>
          </w:tcPr>
          <w:p w:rsidR="00EF037C" w:rsidRDefault="008B0D02" w:rsidP="007733B4">
            <w:pPr>
              <w:jc w:val="both"/>
              <w:rPr>
                <w:rFonts w:ascii="Arial" w:hAnsi="Arial" w:cs="Arial"/>
                <w:sz w:val="16"/>
                <w:szCs w:val="16"/>
              </w:rPr>
            </w:pPr>
            <w:r>
              <w:rPr>
                <w:rFonts w:ascii="Arial" w:hAnsi="Arial" w:cs="Arial"/>
                <w:sz w:val="16"/>
                <w:szCs w:val="16"/>
              </w:rPr>
              <w:t>Cada escuela debe r</w:t>
            </w:r>
            <w:r w:rsidR="00EF037C" w:rsidRPr="008B0D02">
              <w:rPr>
                <w:rFonts w:ascii="Arial" w:hAnsi="Arial" w:cs="Arial"/>
                <w:sz w:val="16"/>
                <w:szCs w:val="16"/>
              </w:rPr>
              <w:t>eproduc</w:t>
            </w:r>
            <w:r>
              <w:rPr>
                <w:rFonts w:ascii="Arial" w:hAnsi="Arial" w:cs="Arial"/>
                <w:sz w:val="16"/>
                <w:szCs w:val="16"/>
              </w:rPr>
              <w:t>ir</w:t>
            </w:r>
            <w:r w:rsidR="00EF037C" w:rsidRPr="008B0D02">
              <w:rPr>
                <w:rFonts w:ascii="Arial" w:hAnsi="Arial" w:cs="Arial"/>
                <w:sz w:val="16"/>
                <w:szCs w:val="16"/>
              </w:rPr>
              <w:t xml:space="preserve"> el </w:t>
            </w:r>
            <w:r w:rsidR="001E4B09">
              <w:rPr>
                <w:rFonts w:ascii="Arial" w:hAnsi="Arial" w:cs="Arial"/>
                <w:sz w:val="16"/>
                <w:szCs w:val="16"/>
              </w:rPr>
              <w:t>“</w:t>
            </w:r>
            <w:r w:rsidR="00EF037C" w:rsidRPr="008B0D02">
              <w:rPr>
                <w:rFonts w:ascii="Arial" w:hAnsi="Arial" w:cs="Arial"/>
                <w:sz w:val="16"/>
                <w:szCs w:val="16"/>
              </w:rPr>
              <w:t xml:space="preserve">Taller de Formación en Perspectiva de Género </w:t>
            </w:r>
            <w:r>
              <w:rPr>
                <w:rFonts w:ascii="Arial" w:hAnsi="Arial" w:cs="Arial"/>
                <w:sz w:val="16"/>
                <w:szCs w:val="16"/>
              </w:rPr>
              <w:t>en la Escuela</w:t>
            </w:r>
            <w:r w:rsidR="001E4B09">
              <w:rPr>
                <w:rFonts w:ascii="Arial" w:hAnsi="Arial" w:cs="Arial"/>
                <w:sz w:val="16"/>
                <w:szCs w:val="16"/>
              </w:rPr>
              <w:t>”</w:t>
            </w:r>
            <w:r>
              <w:rPr>
                <w:rFonts w:ascii="Arial" w:hAnsi="Arial" w:cs="Arial"/>
                <w:sz w:val="16"/>
                <w:szCs w:val="16"/>
              </w:rPr>
              <w:t xml:space="preserve"> al </w:t>
            </w:r>
            <w:r w:rsidR="00EF037C" w:rsidRPr="008B0D02">
              <w:rPr>
                <w:rFonts w:ascii="Arial" w:hAnsi="Arial" w:cs="Arial"/>
                <w:sz w:val="16"/>
                <w:szCs w:val="16"/>
              </w:rPr>
              <w:t>personal docente y administrativo.</w:t>
            </w:r>
          </w:p>
          <w:p w:rsidR="008B0D02" w:rsidRDefault="008B0D02" w:rsidP="007733B4">
            <w:pPr>
              <w:jc w:val="both"/>
              <w:rPr>
                <w:rFonts w:ascii="Arial" w:hAnsi="Arial" w:cs="Arial"/>
                <w:color w:val="000000" w:themeColor="text1"/>
                <w:sz w:val="16"/>
                <w:szCs w:val="16"/>
              </w:rPr>
            </w:pPr>
          </w:p>
          <w:p w:rsidR="008B0D02" w:rsidRPr="008B0D02" w:rsidRDefault="008B0D02" w:rsidP="007733B4">
            <w:pPr>
              <w:jc w:val="both"/>
              <w:rPr>
                <w:rFonts w:ascii="Arial" w:hAnsi="Arial" w:cs="Arial"/>
                <w:color w:val="000000" w:themeColor="text1"/>
                <w:sz w:val="16"/>
                <w:szCs w:val="16"/>
              </w:rPr>
            </w:pPr>
            <w:r>
              <w:rPr>
                <w:rFonts w:ascii="Arial" w:hAnsi="Arial" w:cs="Arial"/>
                <w:color w:val="000000" w:themeColor="text1"/>
                <w:sz w:val="16"/>
                <w:szCs w:val="16"/>
              </w:rPr>
              <w:t xml:space="preserve">Incluir en su Consejo Técnico y Ruta de Mejora Escolar los temas de perspectiva de género y las actividades a realizar. </w:t>
            </w:r>
          </w:p>
        </w:tc>
        <w:tc>
          <w:tcPr>
            <w:tcW w:w="0" w:type="auto"/>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30%</w:t>
            </w:r>
          </w:p>
        </w:tc>
        <w:tc>
          <w:tcPr>
            <w:tcW w:w="0" w:type="auto"/>
          </w:tcPr>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 xml:space="preserve">Anual </w:t>
            </w:r>
          </w:p>
          <w:p w:rsidR="00EF037C" w:rsidRPr="00302921" w:rsidRDefault="00EF037C" w:rsidP="007733B4">
            <w:pPr>
              <w:contextualSpacing/>
              <w:jc w:val="center"/>
              <w:rPr>
                <w:rFonts w:ascii="Arial" w:hAnsi="Arial" w:cs="Arial"/>
                <w:b/>
                <w:bCs/>
                <w:sz w:val="16"/>
                <w:szCs w:val="16"/>
              </w:rPr>
            </w:pPr>
            <w:r w:rsidRPr="00302921">
              <w:rPr>
                <w:rFonts w:ascii="Arial" w:hAnsi="Arial" w:cs="Arial"/>
                <w:b/>
                <w:bCs/>
                <w:sz w:val="16"/>
                <w:szCs w:val="16"/>
              </w:rPr>
              <w:t xml:space="preserve">Agosto septiembre </w:t>
            </w:r>
          </w:p>
        </w:tc>
        <w:tc>
          <w:tcPr>
            <w:tcW w:w="0" w:type="auto"/>
          </w:tcPr>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Formato con reporte y evidencia fotográfica en la página</w:t>
            </w:r>
          </w:p>
          <w:p w:rsidR="00EF037C" w:rsidRPr="008B0D02" w:rsidRDefault="00EF10AD" w:rsidP="007733B4">
            <w:pPr>
              <w:contextualSpacing/>
              <w:jc w:val="center"/>
              <w:rPr>
                <w:rFonts w:ascii="Arial" w:hAnsi="Arial" w:cs="Arial"/>
                <w:sz w:val="16"/>
                <w:szCs w:val="16"/>
              </w:rPr>
            </w:pPr>
            <w:hyperlink r:id="rId13" w:history="1">
              <w:r w:rsidR="00EF037C" w:rsidRPr="008B0D02">
                <w:rPr>
                  <w:rStyle w:val="Hipervnculo"/>
                  <w:rFonts w:ascii="Arial" w:hAnsi="Arial" w:cs="Arial"/>
                  <w:sz w:val="16"/>
                  <w:szCs w:val="16"/>
                </w:rPr>
                <w:t>http://uiimh.seph.gob.mx/</w:t>
              </w:r>
            </w:hyperlink>
          </w:p>
        </w:tc>
        <w:tc>
          <w:tcPr>
            <w:tcW w:w="1207" w:type="dxa"/>
          </w:tcPr>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r w:rsidRPr="008B0D02">
              <w:rPr>
                <w:rFonts w:ascii="Arial" w:hAnsi="Arial" w:cs="Arial"/>
                <w:sz w:val="12"/>
                <w:szCs w:val="12"/>
              </w:rPr>
              <w:t>Cada año de 2019 a 2022</w:t>
            </w:r>
          </w:p>
        </w:tc>
      </w:tr>
      <w:tr w:rsidR="00F57563" w:rsidTr="00F57563">
        <w:tc>
          <w:tcPr>
            <w:tcW w:w="1276" w:type="dxa"/>
            <w:vMerge/>
          </w:tcPr>
          <w:p w:rsidR="00EF037C" w:rsidRPr="008B0D02" w:rsidRDefault="00EF037C" w:rsidP="007733B4">
            <w:pPr>
              <w:contextualSpacing/>
              <w:jc w:val="center"/>
              <w:rPr>
                <w:rFonts w:ascii="Arial" w:hAnsi="Arial" w:cs="Arial"/>
                <w:sz w:val="16"/>
                <w:szCs w:val="16"/>
              </w:rPr>
            </w:pPr>
          </w:p>
        </w:tc>
        <w:tc>
          <w:tcPr>
            <w:tcW w:w="1134" w:type="dxa"/>
            <w:vMerge/>
          </w:tcPr>
          <w:p w:rsidR="00EF037C" w:rsidRPr="008B0D02" w:rsidRDefault="00EF037C" w:rsidP="007733B4">
            <w:pPr>
              <w:contextualSpacing/>
              <w:jc w:val="center"/>
              <w:rPr>
                <w:rFonts w:ascii="Arial" w:hAnsi="Arial" w:cs="Arial"/>
                <w:sz w:val="16"/>
                <w:szCs w:val="16"/>
              </w:rPr>
            </w:pPr>
          </w:p>
        </w:tc>
        <w:tc>
          <w:tcPr>
            <w:tcW w:w="3017" w:type="dxa"/>
          </w:tcPr>
          <w:p w:rsidR="00F57563" w:rsidRPr="008B0D02" w:rsidRDefault="00EF037C" w:rsidP="007733B4">
            <w:pPr>
              <w:spacing w:after="160" w:line="259" w:lineRule="auto"/>
              <w:jc w:val="both"/>
              <w:rPr>
                <w:rFonts w:ascii="Arial" w:hAnsi="Arial" w:cs="Arial"/>
                <w:sz w:val="16"/>
                <w:szCs w:val="16"/>
              </w:rPr>
            </w:pPr>
            <w:r w:rsidRPr="001E4B09">
              <w:rPr>
                <w:rFonts w:ascii="Arial" w:hAnsi="Arial" w:cs="Arial"/>
                <w:b/>
                <w:bCs/>
                <w:sz w:val="16"/>
                <w:szCs w:val="16"/>
              </w:rPr>
              <w:t>Integrar acciones formativas:</w:t>
            </w:r>
            <w:r w:rsidRPr="008B0D02">
              <w:rPr>
                <w:rFonts w:ascii="Arial" w:hAnsi="Arial" w:cs="Arial"/>
                <w:sz w:val="16"/>
                <w:szCs w:val="16"/>
              </w:rPr>
              <w:t xml:space="preserve"> Sensibilizar al personal docente, administrativo, estudiantes y madres o padres de familia en materia de perspectiva de género</w:t>
            </w:r>
            <w:r w:rsidR="00DA293D">
              <w:rPr>
                <w:rFonts w:ascii="Arial" w:hAnsi="Arial" w:cs="Arial"/>
                <w:sz w:val="16"/>
                <w:szCs w:val="16"/>
              </w:rPr>
              <w:t xml:space="preserve">, lenguaje incluyente. </w:t>
            </w:r>
          </w:p>
          <w:p w:rsidR="00EF037C" w:rsidRPr="008B0D02" w:rsidRDefault="00EF037C" w:rsidP="007733B4">
            <w:pPr>
              <w:spacing w:after="160" w:line="259" w:lineRule="auto"/>
              <w:jc w:val="both"/>
              <w:rPr>
                <w:rFonts w:ascii="Arial" w:hAnsi="Arial" w:cs="Arial"/>
                <w:sz w:val="16"/>
                <w:szCs w:val="16"/>
              </w:rPr>
            </w:pPr>
            <w:r w:rsidRPr="008B0D02">
              <w:rPr>
                <w:rFonts w:ascii="Arial" w:hAnsi="Arial" w:cs="Arial"/>
                <w:sz w:val="16"/>
                <w:szCs w:val="16"/>
              </w:rPr>
              <w:t>Difusión de información y campañas en (Derechos de las niñas, niños y adolescentes, Derechos Humanos, Derechos Sexuales y Reproductivos, etc.) que realiza la D</w:t>
            </w:r>
            <w:r w:rsidR="008B0D02">
              <w:rPr>
                <w:rFonts w:ascii="Arial" w:hAnsi="Arial" w:cs="Arial"/>
                <w:sz w:val="16"/>
                <w:szCs w:val="16"/>
              </w:rPr>
              <w:t xml:space="preserve">irección de la </w:t>
            </w:r>
            <w:r w:rsidRPr="008B0D02">
              <w:rPr>
                <w:rFonts w:ascii="Arial" w:hAnsi="Arial" w:cs="Arial"/>
                <w:sz w:val="16"/>
                <w:szCs w:val="16"/>
              </w:rPr>
              <w:t>U</w:t>
            </w:r>
            <w:r w:rsidR="008B0D02">
              <w:rPr>
                <w:rFonts w:ascii="Arial" w:hAnsi="Arial" w:cs="Arial"/>
                <w:sz w:val="16"/>
                <w:szCs w:val="16"/>
              </w:rPr>
              <w:t xml:space="preserve">nidad </w:t>
            </w:r>
            <w:r w:rsidRPr="008B0D02">
              <w:rPr>
                <w:rFonts w:ascii="Arial" w:hAnsi="Arial" w:cs="Arial"/>
                <w:sz w:val="16"/>
                <w:szCs w:val="16"/>
              </w:rPr>
              <w:t>I</w:t>
            </w:r>
            <w:r w:rsidR="008B0D02">
              <w:rPr>
                <w:rFonts w:ascii="Arial" w:hAnsi="Arial" w:cs="Arial"/>
                <w:sz w:val="16"/>
                <w:szCs w:val="16"/>
              </w:rPr>
              <w:t xml:space="preserve">nstitucional para la </w:t>
            </w:r>
            <w:r w:rsidRPr="008B0D02">
              <w:rPr>
                <w:rFonts w:ascii="Arial" w:hAnsi="Arial" w:cs="Arial"/>
                <w:sz w:val="16"/>
                <w:szCs w:val="16"/>
              </w:rPr>
              <w:t>I</w:t>
            </w:r>
            <w:r w:rsidR="008B0D02">
              <w:rPr>
                <w:rFonts w:ascii="Arial" w:hAnsi="Arial" w:cs="Arial"/>
                <w:sz w:val="16"/>
                <w:szCs w:val="16"/>
              </w:rPr>
              <w:t xml:space="preserve">gualdad entre </w:t>
            </w:r>
            <w:r w:rsidRPr="008B0D02">
              <w:rPr>
                <w:rFonts w:ascii="Arial" w:hAnsi="Arial" w:cs="Arial"/>
                <w:sz w:val="16"/>
                <w:szCs w:val="16"/>
              </w:rPr>
              <w:t>M</w:t>
            </w:r>
            <w:r w:rsidR="008B0D02">
              <w:rPr>
                <w:rFonts w:ascii="Arial" w:hAnsi="Arial" w:cs="Arial"/>
                <w:sz w:val="16"/>
                <w:szCs w:val="16"/>
              </w:rPr>
              <w:t xml:space="preserve">ujeres y </w:t>
            </w:r>
            <w:r w:rsidRPr="008B0D02">
              <w:rPr>
                <w:rFonts w:ascii="Arial" w:hAnsi="Arial" w:cs="Arial"/>
                <w:sz w:val="16"/>
                <w:szCs w:val="16"/>
              </w:rPr>
              <w:t>H</w:t>
            </w:r>
            <w:r w:rsidR="008B0D02">
              <w:rPr>
                <w:rFonts w:ascii="Arial" w:hAnsi="Arial" w:cs="Arial"/>
                <w:sz w:val="16"/>
                <w:szCs w:val="16"/>
              </w:rPr>
              <w:t>ombres</w:t>
            </w:r>
            <w:r w:rsidRPr="008B0D02">
              <w:rPr>
                <w:rFonts w:ascii="Arial" w:hAnsi="Arial" w:cs="Arial"/>
                <w:sz w:val="16"/>
                <w:szCs w:val="16"/>
              </w:rPr>
              <w:t xml:space="preserve">. </w:t>
            </w:r>
          </w:p>
          <w:p w:rsidR="00EF037C" w:rsidRPr="008B0D02" w:rsidRDefault="00EF037C" w:rsidP="007733B4">
            <w:pPr>
              <w:spacing w:after="160" w:line="259" w:lineRule="auto"/>
              <w:jc w:val="both"/>
              <w:rPr>
                <w:rFonts w:ascii="Arial" w:hAnsi="Arial" w:cs="Arial"/>
                <w:sz w:val="16"/>
                <w:szCs w:val="16"/>
              </w:rPr>
            </w:pPr>
            <w:r w:rsidRPr="001E4B09">
              <w:rPr>
                <w:rFonts w:ascii="Arial" w:hAnsi="Arial" w:cs="Arial"/>
                <w:b/>
                <w:bCs/>
                <w:sz w:val="16"/>
                <w:szCs w:val="16"/>
              </w:rPr>
              <w:t xml:space="preserve">Realizar actividades </w:t>
            </w:r>
            <w:r w:rsidRPr="001E4B09">
              <w:rPr>
                <w:rFonts w:ascii="Arial" w:hAnsi="Arial" w:cs="Arial"/>
                <w:b/>
                <w:bCs/>
                <w:color w:val="000000" w:themeColor="text1"/>
                <w:sz w:val="16"/>
                <w:szCs w:val="16"/>
              </w:rPr>
              <w:t>en el Marco del Día Naranja de la Campaña Únete</w:t>
            </w:r>
            <w:r w:rsidRPr="008B0D02">
              <w:rPr>
                <w:rFonts w:ascii="Arial" w:hAnsi="Arial" w:cs="Arial"/>
                <w:color w:val="000000" w:themeColor="text1"/>
                <w:sz w:val="16"/>
                <w:szCs w:val="16"/>
              </w:rPr>
              <w:t xml:space="preserve"> (25 de cada mes): C</w:t>
            </w:r>
            <w:r w:rsidRPr="008B0D02">
              <w:rPr>
                <w:rFonts w:ascii="Arial" w:hAnsi="Arial" w:cs="Arial"/>
                <w:sz w:val="16"/>
                <w:szCs w:val="16"/>
              </w:rPr>
              <w:t>onferencias, pláticas, actividades lúdica</w:t>
            </w:r>
            <w:r w:rsidR="001E4B09">
              <w:rPr>
                <w:rFonts w:ascii="Arial" w:hAnsi="Arial" w:cs="Arial"/>
                <w:sz w:val="16"/>
                <w:szCs w:val="16"/>
              </w:rPr>
              <w:t xml:space="preserve">s </w:t>
            </w:r>
            <w:r w:rsidR="0073459D">
              <w:rPr>
                <w:rFonts w:ascii="Arial" w:hAnsi="Arial" w:cs="Arial"/>
                <w:sz w:val="16"/>
                <w:szCs w:val="16"/>
              </w:rPr>
              <w:t>o</w:t>
            </w:r>
            <w:r w:rsidR="001E4B09">
              <w:rPr>
                <w:rFonts w:ascii="Arial" w:hAnsi="Arial" w:cs="Arial"/>
                <w:sz w:val="16"/>
                <w:szCs w:val="16"/>
              </w:rPr>
              <w:t xml:space="preserve"> </w:t>
            </w:r>
            <w:r w:rsidRPr="008B0D02">
              <w:rPr>
                <w:rFonts w:ascii="Arial" w:hAnsi="Arial" w:cs="Arial"/>
                <w:sz w:val="16"/>
                <w:szCs w:val="16"/>
              </w:rPr>
              <w:t>recreativas</w:t>
            </w:r>
            <w:r w:rsidR="00F57563" w:rsidRPr="008B0D02">
              <w:rPr>
                <w:rFonts w:ascii="Arial" w:hAnsi="Arial" w:cs="Arial"/>
                <w:sz w:val="16"/>
                <w:szCs w:val="16"/>
              </w:rPr>
              <w:t xml:space="preserve"> y portar listón naranja</w:t>
            </w:r>
            <w:r w:rsidR="008B0D02">
              <w:rPr>
                <w:rFonts w:ascii="Arial" w:hAnsi="Arial" w:cs="Arial"/>
                <w:sz w:val="16"/>
                <w:szCs w:val="16"/>
              </w:rPr>
              <w:t xml:space="preserve"> como símbolo de rechazo a la violencia contra las mujeres y niñas</w:t>
            </w:r>
            <w:r w:rsidRPr="008B0D02">
              <w:rPr>
                <w:rFonts w:ascii="Arial" w:hAnsi="Arial" w:cs="Arial"/>
                <w:sz w:val="16"/>
                <w:szCs w:val="16"/>
              </w:rPr>
              <w:t>.</w:t>
            </w:r>
          </w:p>
        </w:tc>
        <w:tc>
          <w:tcPr>
            <w:tcW w:w="0" w:type="auto"/>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40%</w:t>
            </w:r>
          </w:p>
        </w:tc>
        <w:tc>
          <w:tcPr>
            <w:tcW w:w="0" w:type="auto"/>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302921" w:rsidRDefault="00EF037C" w:rsidP="007733B4">
            <w:pPr>
              <w:contextualSpacing/>
              <w:jc w:val="center"/>
              <w:rPr>
                <w:rFonts w:ascii="Arial" w:hAnsi="Arial" w:cs="Arial"/>
                <w:b/>
                <w:bCs/>
                <w:sz w:val="16"/>
                <w:szCs w:val="16"/>
              </w:rPr>
            </w:pPr>
            <w:r w:rsidRPr="00302921">
              <w:rPr>
                <w:rFonts w:ascii="Arial" w:hAnsi="Arial" w:cs="Arial"/>
                <w:b/>
                <w:bCs/>
                <w:sz w:val="16"/>
                <w:szCs w:val="16"/>
              </w:rPr>
              <w:t xml:space="preserve">Anual por ciclo escolar </w:t>
            </w:r>
          </w:p>
        </w:tc>
        <w:tc>
          <w:tcPr>
            <w:tcW w:w="0" w:type="auto"/>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Formato de reporte de actividades con datos de descripción del evento, evidencia fotográfica, número de participantes e impacto esperado en la página</w:t>
            </w:r>
          </w:p>
          <w:p w:rsidR="00EF037C" w:rsidRPr="008B0D02" w:rsidRDefault="00EF10AD" w:rsidP="007733B4">
            <w:pPr>
              <w:contextualSpacing/>
              <w:jc w:val="center"/>
              <w:rPr>
                <w:rFonts w:ascii="Arial" w:hAnsi="Arial" w:cs="Arial"/>
                <w:sz w:val="16"/>
                <w:szCs w:val="16"/>
              </w:rPr>
            </w:pPr>
            <w:hyperlink r:id="rId14" w:history="1">
              <w:r w:rsidR="00EF037C" w:rsidRPr="008B0D02">
                <w:rPr>
                  <w:rStyle w:val="Hipervnculo"/>
                  <w:rFonts w:ascii="Arial" w:hAnsi="Arial" w:cs="Arial"/>
                  <w:sz w:val="16"/>
                  <w:szCs w:val="16"/>
                </w:rPr>
                <w:t>http://uiimh.seph.gob.mx/</w:t>
              </w:r>
            </w:hyperlink>
          </w:p>
        </w:tc>
        <w:tc>
          <w:tcPr>
            <w:tcW w:w="1207" w:type="dxa"/>
          </w:tcPr>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rPr>
                <w:rFonts w:ascii="Arial" w:hAnsi="Arial" w:cs="Arial"/>
                <w:sz w:val="12"/>
                <w:szCs w:val="12"/>
              </w:rPr>
            </w:pPr>
            <w:r w:rsidRPr="008B0D02">
              <w:rPr>
                <w:rFonts w:ascii="Arial" w:hAnsi="Arial" w:cs="Arial"/>
                <w:sz w:val="12"/>
                <w:szCs w:val="12"/>
              </w:rPr>
              <w:t>Cada año de 2019 a 2022</w:t>
            </w:r>
          </w:p>
        </w:tc>
      </w:tr>
      <w:tr w:rsidR="00F57563" w:rsidTr="00F57563">
        <w:tc>
          <w:tcPr>
            <w:tcW w:w="1276" w:type="dxa"/>
          </w:tcPr>
          <w:p w:rsidR="00EF037C" w:rsidRPr="008B0D02" w:rsidRDefault="00EF037C" w:rsidP="007733B4">
            <w:pPr>
              <w:contextualSpacing/>
              <w:jc w:val="center"/>
              <w:rPr>
                <w:rFonts w:ascii="Arial" w:hAnsi="Arial" w:cs="Arial"/>
                <w:color w:val="000000" w:themeColor="text1"/>
                <w:sz w:val="16"/>
                <w:szCs w:val="16"/>
              </w:rPr>
            </w:pPr>
            <w:r w:rsidRPr="008B0D02">
              <w:rPr>
                <w:rFonts w:ascii="Arial" w:hAnsi="Arial" w:cs="Arial"/>
                <w:sz w:val="16"/>
                <w:szCs w:val="16"/>
              </w:rPr>
              <w:t>3.- Visitas de Seguimiento y Evaluación a Escuelas</w:t>
            </w:r>
            <w:r w:rsidR="001E4B09">
              <w:rPr>
                <w:rFonts w:ascii="Arial" w:hAnsi="Arial" w:cs="Arial"/>
                <w:sz w:val="16"/>
                <w:szCs w:val="16"/>
              </w:rPr>
              <w:t xml:space="preserve"> </w:t>
            </w:r>
          </w:p>
        </w:tc>
        <w:tc>
          <w:tcPr>
            <w:tcW w:w="1134" w:type="dxa"/>
            <w:vMerge/>
          </w:tcPr>
          <w:p w:rsidR="00EF037C" w:rsidRPr="008B0D02" w:rsidRDefault="00EF037C" w:rsidP="007733B4">
            <w:pPr>
              <w:contextualSpacing/>
              <w:jc w:val="center"/>
              <w:rPr>
                <w:rFonts w:ascii="Arial" w:hAnsi="Arial" w:cs="Arial"/>
                <w:sz w:val="20"/>
                <w:szCs w:val="20"/>
              </w:rPr>
            </w:pPr>
          </w:p>
        </w:tc>
        <w:tc>
          <w:tcPr>
            <w:tcW w:w="3017" w:type="dxa"/>
          </w:tcPr>
          <w:p w:rsidR="00EF037C" w:rsidRPr="008B0D02" w:rsidRDefault="00EF037C" w:rsidP="007733B4">
            <w:pPr>
              <w:contextualSpacing/>
              <w:jc w:val="both"/>
              <w:rPr>
                <w:rFonts w:ascii="Arial" w:hAnsi="Arial" w:cs="Arial"/>
                <w:sz w:val="16"/>
                <w:szCs w:val="16"/>
              </w:rPr>
            </w:pPr>
            <w:r w:rsidRPr="008B0D02">
              <w:rPr>
                <w:rFonts w:ascii="Arial" w:hAnsi="Arial" w:cs="Arial"/>
                <w:color w:val="000000" w:themeColor="text1"/>
                <w:sz w:val="16"/>
                <w:szCs w:val="16"/>
              </w:rPr>
              <w:t>Aplicar a las escuelas participantes</w:t>
            </w:r>
            <w:r w:rsidR="001E4B09">
              <w:rPr>
                <w:rFonts w:ascii="Arial" w:hAnsi="Arial" w:cs="Arial"/>
                <w:color w:val="000000" w:themeColor="text1"/>
                <w:sz w:val="16"/>
                <w:szCs w:val="16"/>
              </w:rPr>
              <w:t xml:space="preserve"> del PPGE</w:t>
            </w:r>
            <w:r w:rsidRPr="008B0D02">
              <w:rPr>
                <w:rFonts w:ascii="Arial" w:hAnsi="Arial" w:cs="Arial"/>
                <w:color w:val="000000" w:themeColor="text1"/>
                <w:sz w:val="16"/>
                <w:szCs w:val="16"/>
              </w:rPr>
              <w:t xml:space="preserve"> instrumentos de evaluación y seguimient</w:t>
            </w:r>
            <w:r w:rsidR="001E4B09">
              <w:rPr>
                <w:rFonts w:ascii="Arial" w:hAnsi="Arial" w:cs="Arial"/>
                <w:color w:val="000000" w:themeColor="text1"/>
                <w:sz w:val="16"/>
                <w:szCs w:val="16"/>
              </w:rPr>
              <w:t xml:space="preserve">o </w:t>
            </w:r>
            <w:r w:rsidR="001F328D">
              <w:rPr>
                <w:rFonts w:ascii="Arial" w:hAnsi="Arial" w:cs="Arial"/>
                <w:sz w:val="16"/>
                <w:szCs w:val="16"/>
              </w:rPr>
              <w:t>por parte de la DUIIMH</w:t>
            </w:r>
          </w:p>
        </w:tc>
        <w:tc>
          <w:tcPr>
            <w:tcW w:w="0" w:type="auto"/>
          </w:tcPr>
          <w:p w:rsidR="00EF037C" w:rsidRPr="008B0D02" w:rsidRDefault="00EF037C" w:rsidP="007733B4">
            <w:pPr>
              <w:contextualSpacing/>
              <w:jc w:val="center"/>
              <w:rPr>
                <w:rFonts w:ascii="Arial" w:hAnsi="Arial" w:cs="Arial"/>
                <w:sz w:val="16"/>
                <w:szCs w:val="16"/>
              </w:rPr>
            </w:pPr>
          </w:p>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20%</w:t>
            </w:r>
          </w:p>
        </w:tc>
        <w:tc>
          <w:tcPr>
            <w:tcW w:w="0" w:type="auto"/>
          </w:tcPr>
          <w:p w:rsidR="00EF037C" w:rsidRPr="00302921" w:rsidRDefault="00EF037C" w:rsidP="007733B4">
            <w:pPr>
              <w:contextualSpacing/>
              <w:jc w:val="center"/>
              <w:rPr>
                <w:rFonts w:ascii="Arial" w:hAnsi="Arial" w:cs="Arial"/>
                <w:b/>
                <w:bCs/>
                <w:sz w:val="16"/>
                <w:szCs w:val="16"/>
              </w:rPr>
            </w:pPr>
            <w:r w:rsidRPr="00302921">
              <w:rPr>
                <w:rFonts w:ascii="Arial" w:hAnsi="Arial" w:cs="Arial"/>
                <w:b/>
                <w:bCs/>
                <w:sz w:val="16"/>
                <w:szCs w:val="16"/>
              </w:rPr>
              <w:t>Anual por ciclo escolar</w:t>
            </w:r>
          </w:p>
        </w:tc>
        <w:tc>
          <w:tcPr>
            <w:tcW w:w="0" w:type="auto"/>
          </w:tcPr>
          <w:p w:rsidR="00EF037C" w:rsidRPr="008B0D02" w:rsidRDefault="00EF037C" w:rsidP="007733B4">
            <w:pPr>
              <w:contextualSpacing/>
              <w:jc w:val="center"/>
              <w:rPr>
                <w:rFonts w:ascii="Arial" w:hAnsi="Arial" w:cs="Arial"/>
                <w:sz w:val="16"/>
                <w:szCs w:val="16"/>
              </w:rPr>
            </w:pPr>
            <w:r w:rsidRPr="008B0D02">
              <w:rPr>
                <w:rFonts w:ascii="Arial" w:hAnsi="Arial" w:cs="Arial"/>
                <w:sz w:val="16"/>
                <w:szCs w:val="16"/>
              </w:rPr>
              <w:t xml:space="preserve">Cuestionarios, evidencia fotográfica y diagnóstico en la página  </w:t>
            </w:r>
          </w:p>
          <w:p w:rsidR="00EF037C" w:rsidRPr="008B0D02" w:rsidRDefault="00EF10AD" w:rsidP="007733B4">
            <w:pPr>
              <w:contextualSpacing/>
              <w:jc w:val="center"/>
              <w:rPr>
                <w:rFonts w:ascii="Arial" w:hAnsi="Arial" w:cs="Arial"/>
                <w:sz w:val="16"/>
                <w:szCs w:val="16"/>
              </w:rPr>
            </w:pPr>
            <w:hyperlink r:id="rId15" w:history="1">
              <w:r w:rsidR="00EF037C" w:rsidRPr="008B0D02">
                <w:rPr>
                  <w:rStyle w:val="Hipervnculo"/>
                  <w:rFonts w:ascii="Arial" w:hAnsi="Arial" w:cs="Arial"/>
                  <w:sz w:val="16"/>
                  <w:szCs w:val="16"/>
                </w:rPr>
                <w:t>http://uiimh.seph.gob.mx/</w:t>
              </w:r>
            </w:hyperlink>
          </w:p>
        </w:tc>
        <w:tc>
          <w:tcPr>
            <w:tcW w:w="1207" w:type="dxa"/>
          </w:tcPr>
          <w:p w:rsidR="00EF037C" w:rsidRPr="008B0D02" w:rsidRDefault="00EF037C" w:rsidP="007733B4">
            <w:pPr>
              <w:contextualSpacing/>
              <w:jc w:val="center"/>
              <w:rPr>
                <w:rFonts w:ascii="Arial" w:hAnsi="Arial" w:cs="Arial"/>
                <w:sz w:val="12"/>
                <w:szCs w:val="12"/>
              </w:rPr>
            </w:pPr>
          </w:p>
          <w:p w:rsidR="00EF037C" w:rsidRPr="008B0D02" w:rsidRDefault="00EF037C" w:rsidP="007733B4">
            <w:pPr>
              <w:contextualSpacing/>
              <w:rPr>
                <w:rFonts w:ascii="Arial" w:hAnsi="Arial" w:cs="Arial"/>
                <w:sz w:val="12"/>
                <w:szCs w:val="12"/>
              </w:rPr>
            </w:pPr>
          </w:p>
          <w:p w:rsidR="00EF037C" w:rsidRPr="008B0D02" w:rsidRDefault="00EF037C" w:rsidP="007733B4">
            <w:pPr>
              <w:contextualSpacing/>
              <w:rPr>
                <w:rFonts w:ascii="Arial" w:hAnsi="Arial" w:cs="Arial"/>
                <w:sz w:val="16"/>
                <w:szCs w:val="16"/>
              </w:rPr>
            </w:pPr>
            <w:r w:rsidRPr="008B0D02">
              <w:rPr>
                <w:rFonts w:ascii="Arial" w:hAnsi="Arial" w:cs="Arial"/>
                <w:sz w:val="12"/>
                <w:szCs w:val="12"/>
              </w:rPr>
              <w:t>Cada año de 2019 a 2022</w:t>
            </w:r>
          </w:p>
        </w:tc>
      </w:tr>
      <w:tr w:rsidR="00F57563" w:rsidTr="00F57563">
        <w:tc>
          <w:tcPr>
            <w:tcW w:w="1276" w:type="dxa"/>
          </w:tcPr>
          <w:p w:rsidR="00EF037C" w:rsidRPr="00435667" w:rsidRDefault="00EF037C" w:rsidP="007733B4">
            <w:pPr>
              <w:contextualSpacing/>
              <w:jc w:val="center"/>
              <w:rPr>
                <w:rFonts w:ascii="Arial" w:hAnsi="Arial" w:cs="Arial"/>
                <w:b/>
                <w:sz w:val="16"/>
                <w:szCs w:val="16"/>
              </w:rPr>
            </w:pPr>
            <w:r w:rsidRPr="00435667">
              <w:rPr>
                <w:rFonts w:ascii="Arial" w:hAnsi="Arial" w:cs="Arial"/>
                <w:b/>
                <w:color w:val="000000" w:themeColor="text1"/>
                <w:sz w:val="16"/>
                <w:szCs w:val="16"/>
              </w:rPr>
              <w:t>Total</w:t>
            </w:r>
          </w:p>
        </w:tc>
        <w:tc>
          <w:tcPr>
            <w:tcW w:w="1134" w:type="dxa"/>
          </w:tcPr>
          <w:p w:rsidR="00EF037C" w:rsidRPr="00435667" w:rsidRDefault="00EF037C" w:rsidP="007733B4">
            <w:pPr>
              <w:contextualSpacing/>
              <w:jc w:val="center"/>
              <w:rPr>
                <w:rFonts w:ascii="Graphik Regular" w:hAnsi="Graphik Regular" w:cs="Arial"/>
                <w:b/>
                <w:sz w:val="20"/>
                <w:szCs w:val="20"/>
              </w:rPr>
            </w:pPr>
          </w:p>
        </w:tc>
        <w:tc>
          <w:tcPr>
            <w:tcW w:w="3017" w:type="dxa"/>
          </w:tcPr>
          <w:p w:rsidR="00EF037C" w:rsidRPr="00435667" w:rsidRDefault="00EF037C" w:rsidP="007733B4">
            <w:pPr>
              <w:contextualSpacing/>
              <w:jc w:val="center"/>
              <w:rPr>
                <w:rFonts w:ascii="Arial" w:hAnsi="Arial" w:cs="Arial"/>
                <w:b/>
                <w:color w:val="000000" w:themeColor="text1"/>
                <w:sz w:val="16"/>
                <w:szCs w:val="16"/>
              </w:rPr>
            </w:pPr>
          </w:p>
        </w:tc>
        <w:tc>
          <w:tcPr>
            <w:tcW w:w="0" w:type="auto"/>
          </w:tcPr>
          <w:p w:rsidR="00EF037C" w:rsidRPr="00435667" w:rsidRDefault="00EF037C" w:rsidP="007733B4">
            <w:pPr>
              <w:contextualSpacing/>
              <w:jc w:val="center"/>
              <w:rPr>
                <w:rFonts w:ascii="Graphik Regular" w:hAnsi="Graphik Regular" w:cs="Arial"/>
                <w:b/>
                <w:sz w:val="20"/>
                <w:szCs w:val="20"/>
              </w:rPr>
            </w:pPr>
            <w:r w:rsidRPr="00435667">
              <w:rPr>
                <w:rFonts w:ascii="Graphik Regular" w:hAnsi="Graphik Regular" w:cs="Arial"/>
                <w:b/>
                <w:sz w:val="20"/>
                <w:szCs w:val="20"/>
              </w:rPr>
              <w:t>100</w:t>
            </w:r>
          </w:p>
        </w:tc>
        <w:tc>
          <w:tcPr>
            <w:tcW w:w="0" w:type="auto"/>
          </w:tcPr>
          <w:p w:rsidR="00EF037C" w:rsidRPr="00435667" w:rsidRDefault="00EF037C" w:rsidP="007733B4">
            <w:pPr>
              <w:contextualSpacing/>
              <w:jc w:val="center"/>
              <w:rPr>
                <w:rFonts w:ascii="Graphik Regular" w:hAnsi="Graphik Regular" w:cs="Arial"/>
                <w:b/>
                <w:sz w:val="20"/>
                <w:szCs w:val="20"/>
              </w:rPr>
            </w:pPr>
          </w:p>
        </w:tc>
        <w:tc>
          <w:tcPr>
            <w:tcW w:w="0" w:type="auto"/>
          </w:tcPr>
          <w:p w:rsidR="00EF037C" w:rsidRPr="00435667" w:rsidRDefault="00EF037C" w:rsidP="007733B4">
            <w:pPr>
              <w:contextualSpacing/>
              <w:jc w:val="center"/>
              <w:rPr>
                <w:rFonts w:ascii="Graphik Regular" w:hAnsi="Graphik Regular" w:cs="Arial"/>
                <w:b/>
                <w:sz w:val="20"/>
                <w:szCs w:val="20"/>
              </w:rPr>
            </w:pPr>
          </w:p>
        </w:tc>
        <w:tc>
          <w:tcPr>
            <w:tcW w:w="1207" w:type="dxa"/>
          </w:tcPr>
          <w:p w:rsidR="00EF037C" w:rsidRPr="00435667" w:rsidRDefault="00EF037C" w:rsidP="007733B4">
            <w:pPr>
              <w:contextualSpacing/>
              <w:jc w:val="center"/>
              <w:rPr>
                <w:rFonts w:ascii="Graphik Regular" w:hAnsi="Graphik Regular" w:cs="Arial"/>
                <w:b/>
                <w:sz w:val="20"/>
                <w:szCs w:val="20"/>
              </w:rPr>
            </w:pPr>
          </w:p>
        </w:tc>
      </w:tr>
    </w:tbl>
    <w:p w:rsidR="00EF037C" w:rsidRDefault="00EF037C" w:rsidP="00985B1E">
      <w:pPr>
        <w:rPr>
          <w:rFonts w:ascii="Calibri" w:hAnsi="Calibri" w:cs="Calibri"/>
          <w:b/>
        </w:rPr>
      </w:pPr>
    </w:p>
    <w:sectPr w:rsidR="00EF037C" w:rsidSect="001435D6">
      <w:pgSz w:w="12240" w:h="15840" w:code="1"/>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0AD" w:rsidRDefault="00EF10AD" w:rsidP="000E49D3">
      <w:pPr>
        <w:spacing w:after="0" w:line="240" w:lineRule="auto"/>
      </w:pPr>
      <w:r>
        <w:separator/>
      </w:r>
    </w:p>
  </w:endnote>
  <w:endnote w:type="continuationSeparator" w:id="0">
    <w:p w:rsidR="00EF10AD" w:rsidRDefault="00EF10AD" w:rsidP="000E4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aphik Bold">
    <w:altName w:val="Arial"/>
    <w:panose1 w:val="00000000000000000000"/>
    <w:charset w:val="00"/>
    <w:family w:val="swiss"/>
    <w:notTrueType/>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raphik Regular">
    <w:altName w:val="Corbel"/>
    <w:panose1 w:val="00000000000000000000"/>
    <w:charset w:val="00"/>
    <w:family w:val="swiss"/>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531" w:rsidRDefault="008F1531" w:rsidP="00F249B9">
    <w:pPr>
      <w:pStyle w:val="Piedepgina"/>
      <w:tabs>
        <w:tab w:val="left" w:pos="429"/>
      </w:tabs>
      <w:rPr>
        <w:sz w:val="14"/>
      </w:rPr>
    </w:pPr>
    <w:r>
      <w:rPr>
        <w:sz w:val="14"/>
      </w:rPr>
      <w:tab/>
    </w:r>
    <w:r>
      <w:rPr>
        <w:sz w:val="14"/>
      </w:rPr>
      <w:tab/>
    </w:r>
    <w:r>
      <w:rPr>
        <w:sz w:val="14"/>
      </w:rPr>
      <w:tab/>
      <w:t xml:space="preserve">                                                                        </w:t>
    </w:r>
    <w:r w:rsidRPr="006920E6">
      <w:rPr>
        <w:sz w:val="14"/>
      </w:rPr>
      <w:t xml:space="preserve">Ex Hacienda La </w:t>
    </w:r>
    <w:proofErr w:type="spellStart"/>
    <w:r w:rsidRPr="006920E6">
      <w:rPr>
        <w:sz w:val="14"/>
      </w:rPr>
      <w:t>Concepcion</w:t>
    </w:r>
    <w:proofErr w:type="spellEnd"/>
    <w:r w:rsidRPr="006920E6">
      <w:rPr>
        <w:sz w:val="14"/>
      </w:rPr>
      <w:t xml:space="preserve"> </w:t>
    </w:r>
    <w:proofErr w:type="spellStart"/>
    <w:r w:rsidRPr="006920E6">
      <w:rPr>
        <w:sz w:val="14"/>
      </w:rPr>
      <w:t>lt</w:t>
    </w:r>
    <w:proofErr w:type="spellEnd"/>
    <w:r w:rsidRPr="006920E6">
      <w:rPr>
        <w:sz w:val="14"/>
      </w:rPr>
      <w:t xml:space="preserve"> 17 San Juan</w:t>
    </w:r>
    <w:r>
      <w:rPr>
        <w:sz w:val="14"/>
      </w:rPr>
      <w:t xml:space="preserve"> </w:t>
    </w:r>
    <w:proofErr w:type="spellStart"/>
    <w:r w:rsidRPr="006920E6">
      <w:rPr>
        <w:sz w:val="14"/>
      </w:rPr>
      <w:t>Tilcuautla</w:t>
    </w:r>
    <w:proofErr w:type="spellEnd"/>
    <w:r w:rsidRPr="006920E6">
      <w:rPr>
        <w:sz w:val="14"/>
      </w:rPr>
      <w:t xml:space="preserve">, </w:t>
    </w:r>
  </w:p>
  <w:p w:rsidR="008F1531" w:rsidRDefault="008F1531" w:rsidP="00F249B9">
    <w:pPr>
      <w:pStyle w:val="Piedepgina"/>
      <w:jc w:val="right"/>
      <w:rPr>
        <w:sz w:val="14"/>
      </w:rPr>
    </w:pPr>
    <w:proofErr w:type="spellStart"/>
    <w:r w:rsidRPr="006920E6">
      <w:rPr>
        <w:sz w:val="14"/>
      </w:rPr>
      <w:t>Mpio</w:t>
    </w:r>
    <w:proofErr w:type="spellEnd"/>
    <w:r w:rsidRPr="006920E6">
      <w:rPr>
        <w:sz w:val="14"/>
      </w:rPr>
      <w:t xml:space="preserve">. San </w:t>
    </w:r>
    <w:proofErr w:type="spellStart"/>
    <w:r w:rsidRPr="006920E6">
      <w:rPr>
        <w:sz w:val="14"/>
      </w:rPr>
      <w:t>Agustin</w:t>
    </w:r>
    <w:proofErr w:type="spellEnd"/>
    <w:r w:rsidRPr="006920E6">
      <w:rPr>
        <w:sz w:val="14"/>
      </w:rPr>
      <w:t xml:space="preserve"> Tlaxiaca, </w:t>
    </w:r>
    <w:proofErr w:type="spellStart"/>
    <w:r w:rsidRPr="006920E6">
      <w:rPr>
        <w:sz w:val="14"/>
      </w:rPr>
      <w:t>Hgo</w:t>
    </w:r>
    <w:proofErr w:type="spellEnd"/>
    <w:r w:rsidRPr="006920E6">
      <w:rPr>
        <w:sz w:val="14"/>
      </w:rPr>
      <w:t>.</w:t>
    </w:r>
  </w:p>
  <w:p w:rsidR="008F1531" w:rsidRDefault="008F1531" w:rsidP="00F249B9">
    <w:pPr>
      <w:pStyle w:val="Piedepgina"/>
      <w:jc w:val="right"/>
      <w:rPr>
        <w:sz w:val="14"/>
      </w:rPr>
    </w:pPr>
    <w:r w:rsidRPr="006920E6">
      <w:rPr>
        <w:sz w:val="14"/>
      </w:rPr>
      <w:t>Tel. 01 (771) 710 04 14</w:t>
    </w:r>
  </w:p>
  <w:p w:rsidR="008F1531" w:rsidRPr="00F249B9" w:rsidRDefault="008F1531" w:rsidP="00F249B9">
    <w:pPr>
      <w:pStyle w:val="Piedepgina"/>
      <w:jc w:val="right"/>
      <w:rPr>
        <w:sz w:val="14"/>
      </w:rPr>
    </w:pPr>
    <w:r w:rsidRPr="006920E6">
      <w:rPr>
        <w:sz w:val="14"/>
      </w:rPr>
      <w:t>www.hidalgo.gob.mx</w:t>
    </w:r>
  </w:p>
  <w:p w:rsidR="008F1531" w:rsidRDefault="008F1531" w:rsidP="00F249B9">
    <w:pPr>
      <w:pStyle w:val="Piedepgina"/>
      <w:tabs>
        <w:tab w:val="clear" w:pos="4419"/>
        <w:tab w:val="clear" w:pos="8838"/>
        <w:tab w:val="left" w:pos="748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0AD" w:rsidRDefault="00EF10AD" w:rsidP="000E49D3">
      <w:pPr>
        <w:spacing w:after="0" w:line="240" w:lineRule="auto"/>
      </w:pPr>
      <w:r>
        <w:separator/>
      </w:r>
    </w:p>
  </w:footnote>
  <w:footnote w:type="continuationSeparator" w:id="0">
    <w:p w:rsidR="00EF10AD" w:rsidRDefault="00EF10AD" w:rsidP="000E4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531" w:rsidRDefault="008F1531" w:rsidP="000E49D3">
    <w:pPr>
      <w:pStyle w:val="Encabezado"/>
      <w:rPr>
        <w:rFonts w:ascii="Graphik Bold" w:hAnsi="Graphik Bold"/>
        <w:b/>
        <w:sz w:val="20"/>
      </w:rPr>
    </w:pPr>
    <w:r>
      <w:rPr>
        <w:rFonts w:ascii="Arial Narrow" w:hAnsi="Arial Narrow" w:cs="Arial"/>
        <w:b/>
        <w:noProof/>
        <w:color w:val="76923C"/>
        <w:lang w:val="es-MX" w:eastAsia="es-MX"/>
      </w:rPr>
      <w:drawing>
        <wp:anchor distT="0" distB="0" distL="114300" distR="114300" simplePos="0" relativeHeight="251661312" behindDoc="0" locked="0" layoutInCell="1" allowOverlap="1" wp14:anchorId="1BF7B320" wp14:editId="089F85F4">
          <wp:simplePos x="0" y="0"/>
          <wp:positionH relativeFrom="column">
            <wp:posOffset>-38100</wp:posOffset>
          </wp:positionH>
          <wp:positionV relativeFrom="paragraph">
            <wp:posOffset>-238125</wp:posOffset>
          </wp:positionV>
          <wp:extent cx="393065" cy="663575"/>
          <wp:effectExtent l="0" t="0" r="6985" b="3175"/>
          <wp:wrapSquare wrapText="bothSides"/>
          <wp:docPr id="6" name="Imagen 6" descr="ttp://uiimh.seph.gob.mx/images/uii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uiimh.seph.gob.mx/images/uiimh.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93065" cy="66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14:anchorId="6AE2A560" wp14:editId="13EF3582">
          <wp:simplePos x="0" y="0"/>
          <wp:positionH relativeFrom="page">
            <wp:align>center</wp:align>
          </wp:positionH>
          <wp:positionV relativeFrom="paragraph">
            <wp:posOffset>-117475</wp:posOffset>
          </wp:positionV>
          <wp:extent cx="1281430" cy="382905"/>
          <wp:effectExtent l="0" t="0" r="0" b="0"/>
          <wp:wrapNone/>
          <wp:docPr id="1" name="Imagen 1" descr="Macintosh HD:Users:Alfredo:Desktop:logo:Logo S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Macintosh HD:Users:Alfredo:Desktop:logo:Logo SEP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1430"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646125FA" wp14:editId="7DFADCDB">
          <wp:simplePos x="0" y="0"/>
          <wp:positionH relativeFrom="column">
            <wp:posOffset>5939155</wp:posOffset>
          </wp:positionH>
          <wp:positionV relativeFrom="paragraph">
            <wp:posOffset>-194945</wp:posOffset>
          </wp:positionV>
          <wp:extent cx="628650" cy="66357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scudo armas.jpg"/>
                  <pic:cNvPicPr/>
                </pic:nvPicPr>
                <pic:blipFill>
                  <a:blip r:embed="rId4">
                    <a:extLst>
                      <a:ext uri="{28A0092B-C50C-407E-A947-70E740481C1C}">
                        <a14:useLocalDpi xmlns:a14="http://schemas.microsoft.com/office/drawing/2010/main" val="0"/>
                      </a:ext>
                    </a:extLst>
                  </a:blip>
                  <a:stretch>
                    <a:fillRect/>
                  </a:stretch>
                </pic:blipFill>
                <pic:spPr>
                  <a:xfrm>
                    <a:off x="0" y="0"/>
                    <a:ext cx="628650" cy="663575"/>
                  </a:xfrm>
                  <a:prstGeom prst="rect">
                    <a:avLst/>
                  </a:prstGeom>
                </pic:spPr>
              </pic:pic>
            </a:graphicData>
          </a:graphic>
          <wp14:sizeRelH relativeFrom="page">
            <wp14:pctWidth>0</wp14:pctWidth>
          </wp14:sizeRelH>
          <wp14:sizeRelV relativeFrom="page">
            <wp14:pctHeight>0</wp14:pctHeight>
          </wp14:sizeRelV>
        </wp:anchor>
      </w:drawing>
    </w:r>
  </w:p>
  <w:p w:rsidR="008F1531" w:rsidRDefault="008F1531" w:rsidP="000E49D3">
    <w:pPr>
      <w:pStyle w:val="Encabezado"/>
      <w:rPr>
        <w:rFonts w:ascii="Graphik Bold" w:hAnsi="Graphik Bold"/>
        <w:b/>
        <w:sz w:val="20"/>
      </w:rPr>
    </w:pPr>
  </w:p>
  <w:p w:rsidR="008F1531" w:rsidRDefault="008F1531" w:rsidP="000E49D3">
    <w:pPr>
      <w:pStyle w:val="Encabezado"/>
      <w:rPr>
        <w:rFonts w:ascii="Graphik Bold" w:hAnsi="Graphik Bold"/>
        <w:b/>
        <w:sz w:val="20"/>
      </w:rPr>
    </w:pPr>
  </w:p>
  <w:p w:rsidR="008F1531" w:rsidRPr="00B16503" w:rsidRDefault="008F1531" w:rsidP="000E49D3">
    <w:pPr>
      <w:pStyle w:val="Encabezado"/>
    </w:pPr>
    <w:r>
      <w:rPr>
        <w:rFonts w:ascii="Graphik Bold" w:hAnsi="Graphik Bold"/>
        <w:b/>
        <w:sz w:val="20"/>
      </w:rPr>
      <w:t xml:space="preserve">Unidad de Coordinación Ejecutiva </w:t>
    </w:r>
  </w:p>
  <w:p w:rsidR="008F1531" w:rsidRPr="00F82D45" w:rsidRDefault="008F1531" w:rsidP="00F82D45">
    <w:pPr>
      <w:pStyle w:val="Encabezado"/>
      <w:contextualSpacing/>
      <w:rPr>
        <w:rFonts w:ascii="Graphik Bold" w:hAnsi="Graphik Bold"/>
        <w:b/>
        <w:sz w:val="20"/>
      </w:rPr>
    </w:pPr>
    <w:r>
      <w:rPr>
        <w:rFonts w:ascii="Graphik Bold" w:hAnsi="Graphik Bold"/>
        <w:b/>
        <w:sz w:val="20"/>
      </w:rPr>
      <w:t xml:space="preserve">Dirección </w:t>
    </w:r>
    <w:r w:rsidRPr="00251B63">
      <w:rPr>
        <w:rFonts w:ascii="Graphik Bold" w:hAnsi="Graphik Bold"/>
        <w:b/>
        <w:sz w:val="20"/>
      </w:rPr>
      <w:t>de la Unidad Institucional para la Igualdad entre Mujeres y Hombres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50AA"/>
    <w:multiLevelType w:val="hybridMultilevel"/>
    <w:tmpl w:val="A4361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7A7C94"/>
    <w:multiLevelType w:val="hybridMultilevel"/>
    <w:tmpl w:val="33049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503"/>
    <w:rsid w:val="00006AE6"/>
    <w:rsid w:val="00010886"/>
    <w:rsid w:val="00054872"/>
    <w:rsid w:val="000615EF"/>
    <w:rsid w:val="00067FD5"/>
    <w:rsid w:val="00095AE9"/>
    <w:rsid w:val="000C068D"/>
    <w:rsid w:val="000D3919"/>
    <w:rsid w:val="000E49D3"/>
    <w:rsid w:val="0011338D"/>
    <w:rsid w:val="00121A7F"/>
    <w:rsid w:val="00137786"/>
    <w:rsid w:val="001435D6"/>
    <w:rsid w:val="001A2FF6"/>
    <w:rsid w:val="001D16D4"/>
    <w:rsid w:val="001E0244"/>
    <w:rsid w:val="001E4B09"/>
    <w:rsid w:val="001F328D"/>
    <w:rsid w:val="001F68C2"/>
    <w:rsid w:val="00202CCC"/>
    <w:rsid w:val="00205007"/>
    <w:rsid w:val="0024108F"/>
    <w:rsid w:val="00242CE9"/>
    <w:rsid w:val="00250065"/>
    <w:rsid w:val="00266DF4"/>
    <w:rsid w:val="00283B03"/>
    <w:rsid w:val="002843FE"/>
    <w:rsid w:val="002A1262"/>
    <w:rsid w:val="002A4C31"/>
    <w:rsid w:val="002B7283"/>
    <w:rsid w:val="002D3443"/>
    <w:rsid w:val="00302921"/>
    <w:rsid w:val="003061BB"/>
    <w:rsid w:val="0031686D"/>
    <w:rsid w:val="00351A95"/>
    <w:rsid w:val="0036354A"/>
    <w:rsid w:val="0036689B"/>
    <w:rsid w:val="00371676"/>
    <w:rsid w:val="00374220"/>
    <w:rsid w:val="003A57ED"/>
    <w:rsid w:val="003B40C8"/>
    <w:rsid w:val="003C2FDC"/>
    <w:rsid w:val="003C5559"/>
    <w:rsid w:val="003E5B84"/>
    <w:rsid w:val="003F5345"/>
    <w:rsid w:val="003F7080"/>
    <w:rsid w:val="003F798A"/>
    <w:rsid w:val="0040683C"/>
    <w:rsid w:val="00425461"/>
    <w:rsid w:val="0044073D"/>
    <w:rsid w:val="00453C61"/>
    <w:rsid w:val="00466C86"/>
    <w:rsid w:val="004C3B0B"/>
    <w:rsid w:val="004D7B1C"/>
    <w:rsid w:val="004E46A5"/>
    <w:rsid w:val="004F0049"/>
    <w:rsid w:val="004F3BAD"/>
    <w:rsid w:val="00505B38"/>
    <w:rsid w:val="00507E85"/>
    <w:rsid w:val="0056326B"/>
    <w:rsid w:val="005A3438"/>
    <w:rsid w:val="005B5D86"/>
    <w:rsid w:val="005F045C"/>
    <w:rsid w:val="005F5B0D"/>
    <w:rsid w:val="00603F89"/>
    <w:rsid w:val="0061422A"/>
    <w:rsid w:val="00674581"/>
    <w:rsid w:val="0068090F"/>
    <w:rsid w:val="00693CC0"/>
    <w:rsid w:val="006A139A"/>
    <w:rsid w:val="006B7A03"/>
    <w:rsid w:val="006C0049"/>
    <w:rsid w:val="006C466B"/>
    <w:rsid w:val="006E102A"/>
    <w:rsid w:val="006E3A07"/>
    <w:rsid w:val="006E4282"/>
    <w:rsid w:val="006F4E5B"/>
    <w:rsid w:val="007335F6"/>
    <w:rsid w:val="0073459D"/>
    <w:rsid w:val="00735909"/>
    <w:rsid w:val="007365F5"/>
    <w:rsid w:val="007644DF"/>
    <w:rsid w:val="0076457F"/>
    <w:rsid w:val="00775828"/>
    <w:rsid w:val="0078148C"/>
    <w:rsid w:val="007B00F8"/>
    <w:rsid w:val="007B4DBE"/>
    <w:rsid w:val="007C1FE5"/>
    <w:rsid w:val="007D5E9B"/>
    <w:rsid w:val="007E5AA1"/>
    <w:rsid w:val="007E7CA7"/>
    <w:rsid w:val="00821745"/>
    <w:rsid w:val="008255F7"/>
    <w:rsid w:val="00833453"/>
    <w:rsid w:val="00843B02"/>
    <w:rsid w:val="00851F4B"/>
    <w:rsid w:val="00862936"/>
    <w:rsid w:val="00863108"/>
    <w:rsid w:val="0086426E"/>
    <w:rsid w:val="00874617"/>
    <w:rsid w:val="008810DB"/>
    <w:rsid w:val="00897821"/>
    <w:rsid w:val="008B0D02"/>
    <w:rsid w:val="008D73D1"/>
    <w:rsid w:val="008F1531"/>
    <w:rsid w:val="0092490E"/>
    <w:rsid w:val="009519EC"/>
    <w:rsid w:val="009672DD"/>
    <w:rsid w:val="00975C61"/>
    <w:rsid w:val="00981EBB"/>
    <w:rsid w:val="00985B1E"/>
    <w:rsid w:val="00991AF0"/>
    <w:rsid w:val="009972AC"/>
    <w:rsid w:val="009A03AB"/>
    <w:rsid w:val="009A0D85"/>
    <w:rsid w:val="009A2FB8"/>
    <w:rsid w:val="009D5803"/>
    <w:rsid w:val="009E24C3"/>
    <w:rsid w:val="009E7A50"/>
    <w:rsid w:val="009E7DC2"/>
    <w:rsid w:val="00A0464C"/>
    <w:rsid w:val="00A1316A"/>
    <w:rsid w:val="00A17F25"/>
    <w:rsid w:val="00A25913"/>
    <w:rsid w:val="00A27C2E"/>
    <w:rsid w:val="00A31C48"/>
    <w:rsid w:val="00A3737F"/>
    <w:rsid w:val="00A50520"/>
    <w:rsid w:val="00A7192F"/>
    <w:rsid w:val="00A76762"/>
    <w:rsid w:val="00AB2F1A"/>
    <w:rsid w:val="00AB57A7"/>
    <w:rsid w:val="00AB57D0"/>
    <w:rsid w:val="00B16503"/>
    <w:rsid w:val="00B53EDF"/>
    <w:rsid w:val="00B61791"/>
    <w:rsid w:val="00B707AD"/>
    <w:rsid w:val="00B73508"/>
    <w:rsid w:val="00B7354E"/>
    <w:rsid w:val="00B7570D"/>
    <w:rsid w:val="00B8034E"/>
    <w:rsid w:val="00B80C90"/>
    <w:rsid w:val="00B9711F"/>
    <w:rsid w:val="00BB03C7"/>
    <w:rsid w:val="00BC5085"/>
    <w:rsid w:val="00BC718F"/>
    <w:rsid w:val="00BE6797"/>
    <w:rsid w:val="00C00D17"/>
    <w:rsid w:val="00C16B69"/>
    <w:rsid w:val="00C21876"/>
    <w:rsid w:val="00C26D3A"/>
    <w:rsid w:val="00C303F3"/>
    <w:rsid w:val="00C4197C"/>
    <w:rsid w:val="00C5388A"/>
    <w:rsid w:val="00C73803"/>
    <w:rsid w:val="00CB6A16"/>
    <w:rsid w:val="00CC346E"/>
    <w:rsid w:val="00CE1AC1"/>
    <w:rsid w:val="00CE3AD9"/>
    <w:rsid w:val="00CE4883"/>
    <w:rsid w:val="00CF5531"/>
    <w:rsid w:val="00CF7210"/>
    <w:rsid w:val="00D26A27"/>
    <w:rsid w:val="00D32512"/>
    <w:rsid w:val="00D615D4"/>
    <w:rsid w:val="00D70811"/>
    <w:rsid w:val="00D70B0C"/>
    <w:rsid w:val="00D71D14"/>
    <w:rsid w:val="00D84499"/>
    <w:rsid w:val="00DA293D"/>
    <w:rsid w:val="00DC1E07"/>
    <w:rsid w:val="00DD2063"/>
    <w:rsid w:val="00DE247D"/>
    <w:rsid w:val="00DF4E05"/>
    <w:rsid w:val="00E020DC"/>
    <w:rsid w:val="00E0508B"/>
    <w:rsid w:val="00E06CBA"/>
    <w:rsid w:val="00E13339"/>
    <w:rsid w:val="00E145A9"/>
    <w:rsid w:val="00E17623"/>
    <w:rsid w:val="00E32D77"/>
    <w:rsid w:val="00E37C48"/>
    <w:rsid w:val="00E51690"/>
    <w:rsid w:val="00E606E3"/>
    <w:rsid w:val="00E63EA1"/>
    <w:rsid w:val="00E92A34"/>
    <w:rsid w:val="00EA7DA3"/>
    <w:rsid w:val="00EB3E35"/>
    <w:rsid w:val="00EB72F8"/>
    <w:rsid w:val="00EB7ECA"/>
    <w:rsid w:val="00EC0263"/>
    <w:rsid w:val="00EC2868"/>
    <w:rsid w:val="00ED34B1"/>
    <w:rsid w:val="00ED480A"/>
    <w:rsid w:val="00EE4CE4"/>
    <w:rsid w:val="00EE7A94"/>
    <w:rsid w:val="00EF037C"/>
    <w:rsid w:val="00EF10AD"/>
    <w:rsid w:val="00EF35F2"/>
    <w:rsid w:val="00EF4579"/>
    <w:rsid w:val="00F04B40"/>
    <w:rsid w:val="00F07B39"/>
    <w:rsid w:val="00F217C7"/>
    <w:rsid w:val="00F23E1A"/>
    <w:rsid w:val="00F242D3"/>
    <w:rsid w:val="00F249B9"/>
    <w:rsid w:val="00F36D21"/>
    <w:rsid w:val="00F525DD"/>
    <w:rsid w:val="00F5332C"/>
    <w:rsid w:val="00F57563"/>
    <w:rsid w:val="00F600F4"/>
    <w:rsid w:val="00F64A67"/>
    <w:rsid w:val="00F768F6"/>
    <w:rsid w:val="00F82D45"/>
    <w:rsid w:val="00F963AD"/>
    <w:rsid w:val="00FE11C0"/>
    <w:rsid w:val="00FE6DD7"/>
    <w:rsid w:val="00FF30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7839C"/>
  <w15:docId w15:val="{FB5D9528-DA42-43C6-9CE1-2D9BDB35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6503"/>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B16503"/>
    <w:rPr>
      <w:rFonts w:eastAsiaTheme="minorEastAsia"/>
      <w:sz w:val="24"/>
      <w:szCs w:val="24"/>
      <w:lang w:val="es-ES_tradnl" w:eastAsia="es-ES"/>
    </w:rPr>
  </w:style>
  <w:style w:type="paragraph" w:styleId="Piedepgina">
    <w:name w:val="footer"/>
    <w:basedOn w:val="Normal"/>
    <w:link w:val="PiedepginaCar"/>
    <w:uiPriority w:val="99"/>
    <w:unhideWhenUsed/>
    <w:rsid w:val="000E4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49D3"/>
  </w:style>
  <w:style w:type="paragraph" w:customStyle="1" w:styleId="xxxxxmsonormal">
    <w:name w:val="x_x_x_x_x_msonormal"/>
    <w:basedOn w:val="Normal"/>
    <w:rsid w:val="009A03A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735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508"/>
    <w:rPr>
      <w:rFonts w:ascii="Segoe UI" w:hAnsi="Segoe UI" w:cs="Segoe UI"/>
      <w:sz w:val="18"/>
      <w:szCs w:val="18"/>
    </w:rPr>
  </w:style>
  <w:style w:type="paragraph" w:styleId="NormalWeb">
    <w:name w:val="Normal (Web)"/>
    <w:basedOn w:val="Normal"/>
    <w:uiPriority w:val="99"/>
    <w:unhideWhenUsed/>
    <w:rsid w:val="004E4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D5E9B"/>
    <w:rPr>
      <w:i/>
      <w:iCs/>
    </w:rPr>
  </w:style>
  <w:style w:type="table" w:styleId="Tablaconcuadrcula">
    <w:name w:val="Table Grid"/>
    <w:basedOn w:val="Tablanormal"/>
    <w:uiPriority w:val="39"/>
    <w:rsid w:val="00F53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1338D"/>
    <w:pPr>
      <w:spacing w:after="0" w:line="240" w:lineRule="auto"/>
      <w:ind w:left="720"/>
      <w:contextualSpacing/>
    </w:pPr>
    <w:rPr>
      <w:rFonts w:eastAsiaTheme="minorEastAsia"/>
      <w:sz w:val="24"/>
      <w:szCs w:val="24"/>
      <w:lang w:val="es-ES_tradnl" w:eastAsia="es-ES"/>
    </w:rPr>
  </w:style>
  <w:style w:type="character" w:customStyle="1" w:styleId="apple-converted-space">
    <w:name w:val="apple-converted-space"/>
    <w:basedOn w:val="Fuentedeprrafopredeter"/>
    <w:rsid w:val="0011338D"/>
  </w:style>
  <w:style w:type="character" w:styleId="Hipervnculo">
    <w:name w:val="Hyperlink"/>
    <w:basedOn w:val="Fuentedeprrafopredeter"/>
    <w:uiPriority w:val="99"/>
    <w:semiHidden/>
    <w:unhideWhenUsed/>
    <w:rsid w:val="00EF03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67928">
      <w:bodyDiv w:val="1"/>
      <w:marLeft w:val="0"/>
      <w:marRight w:val="0"/>
      <w:marTop w:val="0"/>
      <w:marBottom w:val="0"/>
      <w:divBdr>
        <w:top w:val="none" w:sz="0" w:space="0" w:color="auto"/>
        <w:left w:val="none" w:sz="0" w:space="0" w:color="auto"/>
        <w:bottom w:val="none" w:sz="0" w:space="0" w:color="auto"/>
        <w:right w:val="none" w:sz="0" w:space="0" w:color="auto"/>
      </w:divBdr>
    </w:div>
    <w:div w:id="397359280">
      <w:bodyDiv w:val="1"/>
      <w:marLeft w:val="0"/>
      <w:marRight w:val="0"/>
      <w:marTop w:val="0"/>
      <w:marBottom w:val="0"/>
      <w:divBdr>
        <w:top w:val="none" w:sz="0" w:space="0" w:color="auto"/>
        <w:left w:val="none" w:sz="0" w:space="0" w:color="auto"/>
        <w:bottom w:val="none" w:sz="0" w:space="0" w:color="auto"/>
        <w:right w:val="none" w:sz="0" w:space="0" w:color="auto"/>
      </w:divBdr>
    </w:div>
    <w:div w:id="438918127">
      <w:bodyDiv w:val="1"/>
      <w:marLeft w:val="0"/>
      <w:marRight w:val="0"/>
      <w:marTop w:val="0"/>
      <w:marBottom w:val="0"/>
      <w:divBdr>
        <w:top w:val="none" w:sz="0" w:space="0" w:color="auto"/>
        <w:left w:val="none" w:sz="0" w:space="0" w:color="auto"/>
        <w:bottom w:val="none" w:sz="0" w:space="0" w:color="auto"/>
        <w:right w:val="none" w:sz="0" w:space="0" w:color="auto"/>
      </w:divBdr>
    </w:div>
    <w:div w:id="526335680">
      <w:bodyDiv w:val="1"/>
      <w:marLeft w:val="0"/>
      <w:marRight w:val="0"/>
      <w:marTop w:val="0"/>
      <w:marBottom w:val="0"/>
      <w:divBdr>
        <w:top w:val="none" w:sz="0" w:space="0" w:color="auto"/>
        <w:left w:val="none" w:sz="0" w:space="0" w:color="auto"/>
        <w:bottom w:val="none" w:sz="0" w:space="0" w:color="auto"/>
        <w:right w:val="none" w:sz="0" w:space="0" w:color="auto"/>
      </w:divBdr>
    </w:div>
    <w:div w:id="618806881">
      <w:bodyDiv w:val="1"/>
      <w:marLeft w:val="0"/>
      <w:marRight w:val="0"/>
      <w:marTop w:val="0"/>
      <w:marBottom w:val="0"/>
      <w:divBdr>
        <w:top w:val="none" w:sz="0" w:space="0" w:color="auto"/>
        <w:left w:val="none" w:sz="0" w:space="0" w:color="auto"/>
        <w:bottom w:val="none" w:sz="0" w:space="0" w:color="auto"/>
        <w:right w:val="none" w:sz="0" w:space="0" w:color="auto"/>
      </w:divBdr>
    </w:div>
    <w:div w:id="678889026">
      <w:bodyDiv w:val="1"/>
      <w:marLeft w:val="0"/>
      <w:marRight w:val="0"/>
      <w:marTop w:val="0"/>
      <w:marBottom w:val="0"/>
      <w:divBdr>
        <w:top w:val="none" w:sz="0" w:space="0" w:color="auto"/>
        <w:left w:val="none" w:sz="0" w:space="0" w:color="auto"/>
        <w:bottom w:val="none" w:sz="0" w:space="0" w:color="auto"/>
        <w:right w:val="none" w:sz="0" w:space="0" w:color="auto"/>
      </w:divBdr>
    </w:div>
    <w:div w:id="708263202">
      <w:bodyDiv w:val="1"/>
      <w:marLeft w:val="0"/>
      <w:marRight w:val="0"/>
      <w:marTop w:val="0"/>
      <w:marBottom w:val="0"/>
      <w:divBdr>
        <w:top w:val="none" w:sz="0" w:space="0" w:color="auto"/>
        <w:left w:val="none" w:sz="0" w:space="0" w:color="auto"/>
        <w:bottom w:val="none" w:sz="0" w:space="0" w:color="auto"/>
        <w:right w:val="none" w:sz="0" w:space="0" w:color="auto"/>
      </w:divBdr>
      <w:divsChild>
        <w:div w:id="377703726">
          <w:marLeft w:val="0"/>
          <w:marRight w:val="0"/>
          <w:marTop w:val="0"/>
          <w:marBottom w:val="0"/>
          <w:divBdr>
            <w:top w:val="none" w:sz="0" w:space="0" w:color="auto"/>
            <w:left w:val="none" w:sz="0" w:space="0" w:color="auto"/>
            <w:bottom w:val="none" w:sz="0" w:space="0" w:color="auto"/>
            <w:right w:val="none" w:sz="0" w:space="0" w:color="auto"/>
          </w:divBdr>
          <w:divsChild>
            <w:div w:id="177551538">
              <w:marLeft w:val="0"/>
              <w:marRight w:val="0"/>
              <w:marTop w:val="0"/>
              <w:marBottom w:val="0"/>
              <w:divBdr>
                <w:top w:val="none" w:sz="0" w:space="0" w:color="auto"/>
                <w:left w:val="none" w:sz="0" w:space="0" w:color="auto"/>
                <w:bottom w:val="none" w:sz="0" w:space="0" w:color="auto"/>
                <w:right w:val="none" w:sz="0" w:space="0" w:color="auto"/>
              </w:divBdr>
            </w:div>
            <w:div w:id="1992904369">
              <w:marLeft w:val="0"/>
              <w:marRight w:val="0"/>
              <w:marTop w:val="0"/>
              <w:marBottom w:val="0"/>
              <w:divBdr>
                <w:top w:val="none" w:sz="0" w:space="0" w:color="auto"/>
                <w:left w:val="none" w:sz="0" w:space="0" w:color="auto"/>
                <w:bottom w:val="none" w:sz="0" w:space="0" w:color="auto"/>
                <w:right w:val="none" w:sz="0" w:space="0" w:color="auto"/>
              </w:divBdr>
              <w:divsChild>
                <w:div w:id="760028816">
                  <w:marLeft w:val="0"/>
                  <w:marRight w:val="0"/>
                  <w:marTop w:val="0"/>
                  <w:marBottom w:val="0"/>
                  <w:divBdr>
                    <w:top w:val="none" w:sz="0" w:space="0" w:color="auto"/>
                    <w:left w:val="none" w:sz="0" w:space="0" w:color="auto"/>
                    <w:bottom w:val="none" w:sz="0" w:space="0" w:color="auto"/>
                    <w:right w:val="none" w:sz="0" w:space="0" w:color="auto"/>
                  </w:divBdr>
                </w:div>
                <w:div w:id="985545922">
                  <w:marLeft w:val="0"/>
                  <w:marRight w:val="0"/>
                  <w:marTop w:val="0"/>
                  <w:marBottom w:val="0"/>
                  <w:divBdr>
                    <w:top w:val="none" w:sz="0" w:space="0" w:color="auto"/>
                    <w:left w:val="none" w:sz="0" w:space="0" w:color="auto"/>
                    <w:bottom w:val="none" w:sz="0" w:space="0" w:color="auto"/>
                    <w:right w:val="none" w:sz="0" w:space="0" w:color="auto"/>
                  </w:divBdr>
                  <w:divsChild>
                    <w:div w:id="501969542">
                      <w:marLeft w:val="0"/>
                      <w:marRight w:val="0"/>
                      <w:marTop w:val="0"/>
                      <w:marBottom w:val="0"/>
                      <w:divBdr>
                        <w:top w:val="none" w:sz="0" w:space="0" w:color="auto"/>
                        <w:left w:val="none" w:sz="0" w:space="0" w:color="auto"/>
                        <w:bottom w:val="none" w:sz="0" w:space="0" w:color="auto"/>
                        <w:right w:val="none" w:sz="0" w:space="0" w:color="auto"/>
                      </w:divBdr>
                    </w:div>
                  </w:divsChild>
                </w:div>
                <w:div w:id="1248539721">
                  <w:marLeft w:val="0"/>
                  <w:marRight w:val="0"/>
                  <w:marTop w:val="0"/>
                  <w:marBottom w:val="0"/>
                  <w:divBdr>
                    <w:top w:val="none" w:sz="0" w:space="0" w:color="auto"/>
                    <w:left w:val="none" w:sz="0" w:space="0" w:color="auto"/>
                    <w:bottom w:val="none" w:sz="0" w:space="0" w:color="auto"/>
                    <w:right w:val="none" w:sz="0" w:space="0" w:color="auto"/>
                  </w:divBdr>
                </w:div>
                <w:div w:id="1638872179">
                  <w:marLeft w:val="0"/>
                  <w:marRight w:val="0"/>
                  <w:marTop w:val="0"/>
                  <w:marBottom w:val="0"/>
                  <w:divBdr>
                    <w:top w:val="none" w:sz="0" w:space="0" w:color="auto"/>
                    <w:left w:val="none" w:sz="0" w:space="0" w:color="auto"/>
                    <w:bottom w:val="none" w:sz="0" w:space="0" w:color="auto"/>
                    <w:right w:val="none" w:sz="0" w:space="0" w:color="auto"/>
                  </w:divBdr>
                </w:div>
                <w:div w:id="1707875102">
                  <w:marLeft w:val="0"/>
                  <w:marRight w:val="0"/>
                  <w:marTop w:val="0"/>
                  <w:marBottom w:val="0"/>
                  <w:divBdr>
                    <w:top w:val="none" w:sz="0" w:space="0" w:color="auto"/>
                    <w:left w:val="none" w:sz="0" w:space="0" w:color="auto"/>
                    <w:bottom w:val="none" w:sz="0" w:space="0" w:color="auto"/>
                    <w:right w:val="none" w:sz="0" w:space="0" w:color="auto"/>
                  </w:divBdr>
                </w:div>
                <w:div w:id="1751196841">
                  <w:marLeft w:val="0"/>
                  <w:marRight w:val="0"/>
                  <w:marTop w:val="0"/>
                  <w:marBottom w:val="0"/>
                  <w:divBdr>
                    <w:top w:val="none" w:sz="0" w:space="0" w:color="auto"/>
                    <w:left w:val="none" w:sz="0" w:space="0" w:color="auto"/>
                    <w:bottom w:val="none" w:sz="0" w:space="0" w:color="auto"/>
                    <w:right w:val="none" w:sz="0" w:space="0" w:color="auto"/>
                  </w:divBdr>
                </w:div>
                <w:div w:id="1930386667">
                  <w:marLeft w:val="0"/>
                  <w:marRight w:val="0"/>
                  <w:marTop w:val="0"/>
                  <w:marBottom w:val="0"/>
                  <w:divBdr>
                    <w:top w:val="none" w:sz="0" w:space="0" w:color="auto"/>
                    <w:left w:val="none" w:sz="0" w:space="0" w:color="auto"/>
                    <w:bottom w:val="none" w:sz="0" w:space="0" w:color="auto"/>
                    <w:right w:val="none" w:sz="0" w:space="0" w:color="auto"/>
                  </w:divBdr>
                </w:div>
                <w:div w:id="20365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7903">
          <w:marLeft w:val="0"/>
          <w:marRight w:val="0"/>
          <w:marTop w:val="0"/>
          <w:marBottom w:val="0"/>
          <w:divBdr>
            <w:top w:val="none" w:sz="0" w:space="0" w:color="auto"/>
            <w:left w:val="none" w:sz="0" w:space="0" w:color="auto"/>
            <w:bottom w:val="none" w:sz="0" w:space="0" w:color="auto"/>
            <w:right w:val="none" w:sz="0" w:space="0" w:color="auto"/>
          </w:divBdr>
          <w:divsChild>
            <w:div w:id="702097957">
              <w:marLeft w:val="0"/>
              <w:marRight w:val="0"/>
              <w:marTop w:val="0"/>
              <w:marBottom w:val="0"/>
              <w:divBdr>
                <w:top w:val="none" w:sz="0" w:space="0" w:color="auto"/>
                <w:left w:val="none" w:sz="0" w:space="0" w:color="auto"/>
                <w:bottom w:val="none" w:sz="0" w:space="0" w:color="auto"/>
                <w:right w:val="none" w:sz="0" w:space="0" w:color="auto"/>
              </w:divBdr>
              <w:divsChild>
                <w:div w:id="232859496">
                  <w:marLeft w:val="0"/>
                  <w:marRight w:val="0"/>
                  <w:marTop w:val="0"/>
                  <w:marBottom w:val="0"/>
                  <w:divBdr>
                    <w:top w:val="none" w:sz="0" w:space="0" w:color="auto"/>
                    <w:left w:val="none" w:sz="0" w:space="0" w:color="auto"/>
                    <w:bottom w:val="none" w:sz="0" w:space="0" w:color="auto"/>
                    <w:right w:val="none" w:sz="0" w:space="0" w:color="auto"/>
                  </w:divBdr>
                </w:div>
                <w:div w:id="305168317">
                  <w:marLeft w:val="0"/>
                  <w:marRight w:val="0"/>
                  <w:marTop w:val="0"/>
                  <w:marBottom w:val="0"/>
                  <w:divBdr>
                    <w:top w:val="none" w:sz="0" w:space="0" w:color="auto"/>
                    <w:left w:val="none" w:sz="0" w:space="0" w:color="auto"/>
                    <w:bottom w:val="none" w:sz="0" w:space="0" w:color="auto"/>
                    <w:right w:val="none" w:sz="0" w:space="0" w:color="auto"/>
                  </w:divBdr>
                </w:div>
                <w:div w:id="477502600">
                  <w:marLeft w:val="0"/>
                  <w:marRight w:val="0"/>
                  <w:marTop w:val="0"/>
                  <w:marBottom w:val="0"/>
                  <w:divBdr>
                    <w:top w:val="none" w:sz="0" w:space="0" w:color="auto"/>
                    <w:left w:val="none" w:sz="0" w:space="0" w:color="auto"/>
                    <w:bottom w:val="none" w:sz="0" w:space="0" w:color="auto"/>
                    <w:right w:val="none" w:sz="0" w:space="0" w:color="auto"/>
                  </w:divBdr>
                </w:div>
                <w:div w:id="621307465">
                  <w:marLeft w:val="0"/>
                  <w:marRight w:val="0"/>
                  <w:marTop w:val="0"/>
                  <w:marBottom w:val="0"/>
                  <w:divBdr>
                    <w:top w:val="none" w:sz="0" w:space="0" w:color="auto"/>
                    <w:left w:val="none" w:sz="0" w:space="0" w:color="auto"/>
                    <w:bottom w:val="none" w:sz="0" w:space="0" w:color="auto"/>
                    <w:right w:val="none" w:sz="0" w:space="0" w:color="auto"/>
                  </w:divBdr>
                </w:div>
                <w:div w:id="730889499">
                  <w:marLeft w:val="0"/>
                  <w:marRight w:val="0"/>
                  <w:marTop w:val="0"/>
                  <w:marBottom w:val="0"/>
                  <w:divBdr>
                    <w:top w:val="none" w:sz="0" w:space="0" w:color="auto"/>
                    <w:left w:val="none" w:sz="0" w:space="0" w:color="auto"/>
                    <w:bottom w:val="none" w:sz="0" w:space="0" w:color="auto"/>
                    <w:right w:val="none" w:sz="0" w:space="0" w:color="auto"/>
                  </w:divBdr>
                </w:div>
                <w:div w:id="734863960">
                  <w:marLeft w:val="0"/>
                  <w:marRight w:val="0"/>
                  <w:marTop w:val="0"/>
                  <w:marBottom w:val="0"/>
                  <w:divBdr>
                    <w:top w:val="none" w:sz="0" w:space="0" w:color="auto"/>
                    <w:left w:val="none" w:sz="0" w:space="0" w:color="auto"/>
                    <w:bottom w:val="none" w:sz="0" w:space="0" w:color="auto"/>
                    <w:right w:val="none" w:sz="0" w:space="0" w:color="auto"/>
                  </w:divBdr>
                </w:div>
                <w:div w:id="835922805">
                  <w:marLeft w:val="0"/>
                  <w:marRight w:val="0"/>
                  <w:marTop w:val="0"/>
                  <w:marBottom w:val="0"/>
                  <w:divBdr>
                    <w:top w:val="none" w:sz="0" w:space="0" w:color="auto"/>
                    <w:left w:val="none" w:sz="0" w:space="0" w:color="auto"/>
                    <w:bottom w:val="none" w:sz="0" w:space="0" w:color="auto"/>
                    <w:right w:val="none" w:sz="0" w:space="0" w:color="auto"/>
                  </w:divBdr>
                </w:div>
                <w:div w:id="878862819">
                  <w:marLeft w:val="0"/>
                  <w:marRight w:val="0"/>
                  <w:marTop w:val="0"/>
                  <w:marBottom w:val="0"/>
                  <w:divBdr>
                    <w:top w:val="none" w:sz="0" w:space="0" w:color="auto"/>
                    <w:left w:val="none" w:sz="0" w:space="0" w:color="auto"/>
                    <w:bottom w:val="none" w:sz="0" w:space="0" w:color="auto"/>
                    <w:right w:val="none" w:sz="0" w:space="0" w:color="auto"/>
                  </w:divBdr>
                </w:div>
                <w:div w:id="1246258077">
                  <w:marLeft w:val="0"/>
                  <w:marRight w:val="0"/>
                  <w:marTop w:val="0"/>
                  <w:marBottom w:val="0"/>
                  <w:divBdr>
                    <w:top w:val="none" w:sz="0" w:space="0" w:color="auto"/>
                    <w:left w:val="none" w:sz="0" w:space="0" w:color="auto"/>
                    <w:bottom w:val="none" w:sz="0" w:space="0" w:color="auto"/>
                    <w:right w:val="none" w:sz="0" w:space="0" w:color="auto"/>
                  </w:divBdr>
                </w:div>
                <w:div w:id="1520511163">
                  <w:marLeft w:val="0"/>
                  <w:marRight w:val="0"/>
                  <w:marTop w:val="0"/>
                  <w:marBottom w:val="0"/>
                  <w:divBdr>
                    <w:top w:val="none" w:sz="0" w:space="0" w:color="auto"/>
                    <w:left w:val="none" w:sz="0" w:space="0" w:color="auto"/>
                    <w:bottom w:val="none" w:sz="0" w:space="0" w:color="auto"/>
                    <w:right w:val="none" w:sz="0" w:space="0" w:color="auto"/>
                  </w:divBdr>
                </w:div>
                <w:div w:id="2009093065">
                  <w:marLeft w:val="0"/>
                  <w:marRight w:val="0"/>
                  <w:marTop w:val="0"/>
                  <w:marBottom w:val="0"/>
                  <w:divBdr>
                    <w:top w:val="none" w:sz="0" w:space="0" w:color="auto"/>
                    <w:left w:val="none" w:sz="0" w:space="0" w:color="auto"/>
                    <w:bottom w:val="none" w:sz="0" w:space="0" w:color="auto"/>
                    <w:right w:val="none" w:sz="0" w:space="0" w:color="auto"/>
                  </w:divBdr>
                </w:div>
                <w:div w:id="2031878944">
                  <w:marLeft w:val="0"/>
                  <w:marRight w:val="0"/>
                  <w:marTop w:val="0"/>
                  <w:marBottom w:val="0"/>
                  <w:divBdr>
                    <w:top w:val="none" w:sz="0" w:space="0" w:color="auto"/>
                    <w:left w:val="none" w:sz="0" w:space="0" w:color="auto"/>
                    <w:bottom w:val="none" w:sz="0" w:space="0" w:color="auto"/>
                    <w:right w:val="none" w:sz="0" w:space="0" w:color="auto"/>
                  </w:divBdr>
                </w:div>
                <w:div w:id="20554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83531">
      <w:bodyDiv w:val="1"/>
      <w:marLeft w:val="0"/>
      <w:marRight w:val="0"/>
      <w:marTop w:val="0"/>
      <w:marBottom w:val="0"/>
      <w:divBdr>
        <w:top w:val="none" w:sz="0" w:space="0" w:color="auto"/>
        <w:left w:val="none" w:sz="0" w:space="0" w:color="auto"/>
        <w:bottom w:val="none" w:sz="0" w:space="0" w:color="auto"/>
        <w:right w:val="none" w:sz="0" w:space="0" w:color="auto"/>
      </w:divBdr>
    </w:div>
    <w:div w:id="1206678495">
      <w:bodyDiv w:val="1"/>
      <w:marLeft w:val="0"/>
      <w:marRight w:val="0"/>
      <w:marTop w:val="0"/>
      <w:marBottom w:val="0"/>
      <w:divBdr>
        <w:top w:val="none" w:sz="0" w:space="0" w:color="auto"/>
        <w:left w:val="none" w:sz="0" w:space="0" w:color="auto"/>
        <w:bottom w:val="none" w:sz="0" w:space="0" w:color="auto"/>
        <w:right w:val="none" w:sz="0" w:space="0" w:color="auto"/>
      </w:divBdr>
    </w:div>
    <w:div w:id="1820224224">
      <w:bodyDiv w:val="1"/>
      <w:marLeft w:val="0"/>
      <w:marRight w:val="0"/>
      <w:marTop w:val="0"/>
      <w:marBottom w:val="0"/>
      <w:divBdr>
        <w:top w:val="none" w:sz="0" w:space="0" w:color="auto"/>
        <w:left w:val="none" w:sz="0" w:space="0" w:color="auto"/>
        <w:bottom w:val="none" w:sz="0" w:space="0" w:color="auto"/>
        <w:right w:val="none" w:sz="0" w:space="0" w:color="auto"/>
      </w:divBdr>
    </w:div>
    <w:div w:id="1898123118">
      <w:bodyDiv w:val="1"/>
      <w:marLeft w:val="0"/>
      <w:marRight w:val="0"/>
      <w:marTop w:val="0"/>
      <w:marBottom w:val="0"/>
      <w:divBdr>
        <w:top w:val="none" w:sz="0" w:space="0" w:color="auto"/>
        <w:left w:val="none" w:sz="0" w:space="0" w:color="auto"/>
        <w:bottom w:val="none" w:sz="0" w:space="0" w:color="auto"/>
        <w:right w:val="none" w:sz="0" w:space="0" w:color="auto"/>
      </w:divBdr>
    </w:div>
    <w:div w:id="206552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iimh.seph.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iimh.seph.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uiimh.seph.gob.mx/"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iimh.sep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uiimh.seph.gob.mx/images/uiimh.png" TargetMode="External"/><Relationship Id="rId1" Type="http://schemas.openxmlformats.org/officeDocument/2006/relationships/image" Target="media/image2.pn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14441-D31E-4F9D-9636-4D2F82B58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5</Pages>
  <Words>1392</Words>
  <Characters>7656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Edwinn</cp:lastModifiedBy>
  <cp:revision>64</cp:revision>
  <cp:lastPrinted>2019-03-05T20:49:00Z</cp:lastPrinted>
  <dcterms:created xsi:type="dcterms:W3CDTF">2018-08-29T16:25:00Z</dcterms:created>
  <dcterms:modified xsi:type="dcterms:W3CDTF">2019-06-13T16:22:00Z</dcterms:modified>
</cp:coreProperties>
</file>